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BB68B5">
      <w:pPr>
        <w:jc w:val="center"/>
        <w:outlineLvl w:val="9"/>
        <w:rPr>
          <w:rFonts w:hint="eastAsia" w:ascii="黑体" w:hAnsi="华文中宋" w:eastAsia="黑体"/>
          <w:bCs/>
          <w:color w:val="auto"/>
          <w:spacing w:val="20"/>
          <w:sz w:val="72"/>
          <w:szCs w:val="72"/>
          <w:highlight w:val="none"/>
          <w:lang w:val="en-US" w:eastAsia="zh-CN"/>
        </w:rPr>
      </w:pPr>
      <w:bookmarkStart w:id="9" w:name="_GoBack"/>
    </w:p>
    <w:p w14:paraId="0567D27F">
      <w:pPr>
        <w:jc w:val="center"/>
        <w:outlineLvl w:val="9"/>
        <w:rPr>
          <w:rFonts w:hint="eastAsia" w:ascii="黑体" w:hAnsi="华文中宋" w:eastAsia="黑体"/>
          <w:bCs/>
          <w:color w:val="auto"/>
          <w:spacing w:val="20"/>
          <w:sz w:val="72"/>
          <w:szCs w:val="72"/>
          <w:highlight w:val="none"/>
        </w:rPr>
      </w:pPr>
    </w:p>
    <w:p w14:paraId="4CBDC86E">
      <w:pPr>
        <w:jc w:val="center"/>
        <w:outlineLvl w:val="9"/>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无锡市新吴区政府采购</w:t>
      </w:r>
    </w:p>
    <w:p w14:paraId="4DEBBD2F">
      <w:pPr>
        <w:outlineLvl w:val="9"/>
        <w:rPr>
          <w:rFonts w:ascii="华文中宋" w:hAnsi="华文中宋" w:eastAsia="华文中宋"/>
          <w:bCs/>
          <w:color w:val="auto"/>
          <w:sz w:val="30"/>
          <w:highlight w:val="none"/>
        </w:rPr>
      </w:pPr>
    </w:p>
    <w:p w14:paraId="651A3B3B">
      <w:pPr>
        <w:outlineLvl w:val="9"/>
        <w:rPr>
          <w:rFonts w:ascii="华文中宋" w:hAnsi="华文中宋" w:eastAsia="华文中宋"/>
          <w:bCs/>
          <w:color w:val="auto"/>
          <w:sz w:val="30"/>
          <w:highlight w:val="none"/>
        </w:rPr>
      </w:pPr>
    </w:p>
    <w:p w14:paraId="3808DDEA">
      <w:pPr>
        <w:outlineLvl w:val="9"/>
        <w:rPr>
          <w:rFonts w:ascii="华文中宋" w:hAnsi="华文中宋" w:eastAsia="华文中宋"/>
          <w:bCs/>
          <w:color w:val="auto"/>
          <w:sz w:val="30"/>
          <w:highlight w:val="none"/>
        </w:rPr>
      </w:pPr>
    </w:p>
    <w:p w14:paraId="34AD8B17">
      <w:pPr>
        <w:jc w:val="center"/>
        <w:outlineLvl w:val="9"/>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 </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开</w:t>
      </w:r>
    </w:p>
    <w:p w14:paraId="2B8BC746">
      <w:pPr>
        <w:jc w:val="center"/>
        <w:outlineLvl w:val="9"/>
        <w:rPr>
          <w:rFonts w:ascii="黑体" w:hAnsi="华文中宋" w:eastAsia="黑体"/>
          <w:bCs/>
          <w:color w:val="auto"/>
          <w:spacing w:val="20"/>
          <w:sz w:val="52"/>
          <w:szCs w:val="52"/>
          <w:highlight w:val="none"/>
        </w:rPr>
      </w:pPr>
      <w:r>
        <w:rPr>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CtNrfTVAAAACQEAAA8AAAAAAAAAAQAgAAAAIgAAAGRycy9k&#10;b3ducmV2LnhtbFBLAQIUABQAAAAIAIdO4kCEa7ANzAEAAKwDAAAOAAAAAAAAAAEAIAAAACQBAABk&#10;cnMvZTJvRG9jLnhtbFBLBQYAAAAABgAGAFkBAABiBQ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lang w:val="en-US" w:eastAsia="zh-CN"/>
        </w:rPr>
        <w:t xml:space="preserve"> </w:t>
      </w:r>
      <w:r>
        <w:rPr>
          <w:rFonts w:hint="eastAsia" w:ascii="黑体" w:hAnsi="华文中宋" w:eastAsia="黑体"/>
          <w:bCs/>
          <w:color w:val="auto"/>
          <w:spacing w:val="20"/>
          <w:sz w:val="52"/>
          <w:szCs w:val="52"/>
          <w:highlight w:val="none"/>
        </w:rPr>
        <w:t>件</w:t>
      </w:r>
    </w:p>
    <w:p w14:paraId="168104F1">
      <w:pPr>
        <w:outlineLvl w:val="9"/>
        <w:rPr>
          <w:rFonts w:ascii="华文中宋" w:hAnsi="华文中宋" w:eastAsia="华文中宋"/>
          <w:bCs/>
          <w:color w:val="auto"/>
          <w:sz w:val="30"/>
          <w:highlight w:val="none"/>
        </w:rPr>
      </w:pPr>
    </w:p>
    <w:p w14:paraId="463A0CE1">
      <w:pPr>
        <w:tabs>
          <w:tab w:val="left" w:pos="9921"/>
        </w:tabs>
        <w:jc w:val="center"/>
        <w:outlineLvl w:val="9"/>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（全流程电子化）</w:t>
      </w:r>
    </w:p>
    <w:p w14:paraId="3016B419">
      <w:pPr>
        <w:jc w:val="left"/>
        <w:outlineLvl w:val="9"/>
        <w:rPr>
          <w:rFonts w:hint="eastAsia" w:ascii="华文中宋" w:hAnsi="华文中宋" w:eastAsia="华文中宋"/>
          <w:bCs/>
          <w:color w:val="auto"/>
          <w:sz w:val="30"/>
          <w:highlight w:val="none"/>
        </w:rPr>
      </w:pPr>
    </w:p>
    <w:p w14:paraId="0FC0FABF">
      <w:pPr>
        <w:jc w:val="left"/>
        <w:outlineLvl w:val="9"/>
        <w:rPr>
          <w:rFonts w:hint="eastAsia" w:ascii="华文中宋" w:hAnsi="华文中宋" w:eastAsia="华文中宋"/>
          <w:b/>
          <w:bCs/>
          <w:color w:val="auto"/>
          <w:sz w:val="28"/>
          <w:szCs w:val="28"/>
          <w:highlight w:val="none"/>
        </w:rPr>
      </w:pPr>
    </w:p>
    <w:p w14:paraId="0F2944FA">
      <w:pPr>
        <w:ind w:firstLine="560"/>
        <w:outlineLvl w:val="9"/>
        <w:rPr>
          <w:rFonts w:hint="eastAsia" w:ascii="黑体" w:hAnsi="黑体" w:eastAsia="黑体"/>
          <w:color w:val="auto"/>
          <w:sz w:val="28"/>
          <w:szCs w:val="28"/>
          <w:highlight w:val="none"/>
        </w:rPr>
      </w:pPr>
    </w:p>
    <w:p w14:paraId="6FF20607">
      <w:pPr>
        <w:ind w:firstLine="560"/>
        <w:outlineLvl w:val="9"/>
        <w:rPr>
          <w:rFonts w:hint="eastAsia" w:ascii="黑体" w:hAnsi="黑体" w:eastAsia="黑体"/>
          <w:color w:val="auto"/>
          <w:sz w:val="28"/>
          <w:szCs w:val="28"/>
          <w:highlight w:val="none"/>
        </w:rPr>
      </w:pPr>
    </w:p>
    <w:p w14:paraId="25150C03">
      <w:pPr>
        <w:ind w:firstLine="560"/>
        <w:outlineLvl w:val="9"/>
        <w:rPr>
          <w:rFonts w:hint="eastAsia" w:ascii="黑体" w:hAnsi="黑体" w:eastAsia="黑体"/>
          <w:color w:val="auto"/>
          <w:sz w:val="28"/>
          <w:szCs w:val="28"/>
          <w:highlight w:val="none"/>
        </w:rPr>
      </w:pPr>
    </w:p>
    <w:p w14:paraId="761598CD">
      <w:pPr>
        <w:ind w:firstLine="560"/>
        <w:outlineLvl w:val="9"/>
        <w:rPr>
          <w:rFonts w:hint="eastAsia" w:ascii="黑体" w:hAnsi="黑体" w:eastAsia="黑体"/>
          <w:color w:val="auto"/>
          <w:sz w:val="28"/>
          <w:szCs w:val="28"/>
          <w:highlight w:val="none"/>
        </w:rPr>
      </w:pPr>
    </w:p>
    <w:p w14:paraId="6A06452B">
      <w:pPr>
        <w:ind w:firstLine="560"/>
        <w:outlineLvl w:val="9"/>
        <w:rPr>
          <w:rFonts w:hint="default" w:ascii="黑体" w:hAnsi="黑体" w:eastAsia="黑体"/>
          <w:color w:val="auto"/>
          <w:sz w:val="28"/>
          <w:szCs w:val="28"/>
          <w:highlight w:val="none"/>
          <w:lang w:val="en-US"/>
        </w:rPr>
      </w:pPr>
      <w:r>
        <w:rPr>
          <w:rFonts w:hint="eastAsia" w:ascii="黑体" w:hAnsi="黑体" w:eastAsia="黑体"/>
          <w:color w:val="auto"/>
          <w:sz w:val="28"/>
          <w:szCs w:val="28"/>
          <w:highlight w:val="none"/>
        </w:rPr>
        <w:t>采购项目编号：JSZC-320214-ZRJJ-G2025-0010</w:t>
      </w:r>
    </w:p>
    <w:p w14:paraId="113B3DAF">
      <w:pPr>
        <w:outlineLvl w:val="9"/>
        <w:rPr>
          <w:rFonts w:hint="eastAsia" w:ascii="黑体" w:hAnsi="黑体" w:eastAsia="黑体"/>
          <w:color w:val="auto"/>
          <w:sz w:val="28"/>
          <w:szCs w:val="28"/>
          <w:highlight w:val="none"/>
        </w:rPr>
      </w:pPr>
    </w:p>
    <w:p w14:paraId="61DC1639">
      <w:pPr>
        <w:ind w:left="2518" w:hanging="1960"/>
        <w:outlineLvl w:val="9"/>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采购项目名称：</w:t>
      </w:r>
      <w:r>
        <w:rPr>
          <w:rFonts w:hint="eastAsia" w:ascii="黑体" w:hAnsi="黑体" w:eastAsia="黑体"/>
          <w:color w:val="auto"/>
          <w:sz w:val="28"/>
          <w:szCs w:val="28"/>
          <w:highlight w:val="none"/>
          <w:lang w:eastAsia="zh-CN"/>
        </w:rPr>
        <w:t>2025—2027年鸿山街道特种设备安全、非特种设备升降平台安全和食品安全第三方信息化协管项目</w:t>
      </w:r>
    </w:p>
    <w:p w14:paraId="16134221">
      <w:pPr>
        <w:outlineLvl w:val="9"/>
        <w:rPr>
          <w:rFonts w:hint="eastAsia" w:ascii="黑体" w:hAnsi="黑体" w:eastAsia="黑体"/>
          <w:color w:val="auto"/>
          <w:sz w:val="28"/>
          <w:szCs w:val="28"/>
          <w:highlight w:val="none"/>
        </w:rPr>
      </w:pPr>
    </w:p>
    <w:p w14:paraId="77B60641">
      <w:pPr>
        <w:ind w:left="2518" w:hanging="1960"/>
        <w:outlineLvl w:val="9"/>
        <w:rPr>
          <w:rFonts w:hint="eastAsia" w:ascii="黑体" w:hAnsi="黑体" w:eastAsia="黑体" w:cs="Times New Roman"/>
          <w:color w:val="auto"/>
          <w:sz w:val="28"/>
          <w:szCs w:val="28"/>
          <w:highlight w:val="none"/>
          <w:lang w:eastAsia="zh-CN"/>
        </w:rPr>
      </w:pPr>
      <w:r>
        <w:rPr>
          <w:rFonts w:hint="eastAsia" w:ascii="黑体" w:hAnsi="黑体" w:eastAsia="黑体" w:cs="Times New Roman"/>
          <w:color w:val="auto"/>
          <w:sz w:val="28"/>
          <w:szCs w:val="28"/>
          <w:highlight w:val="none"/>
        </w:rPr>
        <w:t>采</w:t>
      </w:r>
      <w:r>
        <w:rPr>
          <w:rFonts w:hint="eastAsia" w:ascii="黑体" w:hAnsi="黑体" w:eastAsia="黑体" w:cs="Times New Roman"/>
          <w:color w:val="auto"/>
          <w:sz w:val="28"/>
          <w:szCs w:val="28"/>
          <w:highlight w:val="none"/>
          <w:lang w:val="en-US" w:eastAsia="zh-CN"/>
        </w:rPr>
        <w:t xml:space="preserve">   </w:t>
      </w:r>
      <w:r>
        <w:rPr>
          <w:rFonts w:hint="eastAsia" w:ascii="黑体" w:hAnsi="黑体" w:eastAsia="黑体" w:cs="Times New Roman"/>
          <w:color w:val="auto"/>
          <w:sz w:val="28"/>
          <w:szCs w:val="28"/>
          <w:highlight w:val="none"/>
        </w:rPr>
        <w:t>购</w:t>
      </w:r>
      <w:r>
        <w:rPr>
          <w:rFonts w:hint="eastAsia" w:ascii="黑体" w:hAnsi="黑体" w:eastAsia="黑体" w:cs="Times New Roman"/>
          <w:color w:val="auto"/>
          <w:sz w:val="28"/>
          <w:szCs w:val="28"/>
          <w:highlight w:val="none"/>
          <w:lang w:val="en-US" w:eastAsia="zh-CN"/>
        </w:rPr>
        <w:t xml:space="preserve">   </w:t>
      </w:r>
      <w:r>
        <w:rPr>
          <w:rFonts w:hint="eastAsia" w:ascii="黑体" w:hAnsi="黑体" w:eastAsia="黑体" w:cs="Times New Roman"/>
          <w:color w:val="auto"/>
          <w:sz w:val="28"/>
          <w:szCs w:val="28"/>
          <w:highlight w:val="none"/>
        </w:rPr>
        <w:t>人：</w:t>
      </w:r>
      <w:r>
        <w:rPr>
          <w:rFonts w:hint="eastAsia" w:ascii="黑体" w:hAnsi="黑体" w:eastAsia="黑体" w:cs="Times New Roman"/>
          <w:color w:val="auto"/>
          <w:sz w:val="28"/>
          <w:szCs w:val="28"/>
          <w:highlight w:val="none"/>
          <w:lang w:eastAsia="zh-CN"/>
        </w:rPr>
        <w:t>无锡市新吴区人民政府鸿山街道办事处</w:t>
      </w:r>
    </w:p>
    <w:p w14:paraId="5FA5F2EC">
      <w:pPr>
        <w:outlineLvl w:val="9"/>
        <w:rPr>
          <w:rFonts w:hint="eastAsia" w:ascii="黑体" w:hAnsi="黑体" w:eastAsia="黑体" w:cs="Times New Roman"/>
          <w:color w:val="auto"/>
          <w:sz w:val="28"/>
          <w:szCs w:val="28"/>
          <w:highlight w:val="none"/>
        </w:rPr>
      </w:pPr>
    </w:p>
    <w:p w14:paraId="479C1339">
      <w:pPr>
        <w:ind w:firstLine="560"/>
        <w:outlineLvl w:val="9"/>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采购代理机构：</w:t>
      </w:r>
      <w:r>
        <w:rPr>
          <w:rFonts w:hint="eastAsia" w:ascii="黑体" w:hAnsi="黑体" w:eastAsia="黑体"/>
          <w:color w:val="auto"/>
          <w:sz w:val="28"/>
          <w:szCs w:val="28"/>
          <w:highlight w:val="none"/>
          <w:lang w:eastAsia="zh-CN"/>
        </w:rPr>
        <w:t>无锡彰誉技术咨询有限公司</w:t>
      </w:r>
    </w:p>
    <w:p w14:paraId="1BCBC739">
      <w:pPr>
        <w:outlineLvl w:val="9"/>
        <w:rPr>
          <w:rFonts w:ascii="黑体" w:hAnsi="黑体" w:eastAsia="黑体"/>
          <w:color w:val="auto"/>
          <w:highlight w:val="none"/>
        </w:rPr>
      </w:pPr>
    </w:p>
    <w:p w14:paraId="7B64E629">
      <w:pPr>
        <w:jc w:val="center"/>
        <w:outlineLvl w:val="9"/>
        <w:rPr>
          <w:rFonts w:hint="eastAsia" w:ascii="黑体" w:hAnsi="华文中宋" w:eastAsia="黑体"/>
          <w:bCs/>
          <w:color w:val="auto"/>
          <w:sz w:val="28"/>
          <w:szCs w:val="28"/>
          <w:highlight w:val="none"/>
        </w:rPr>
      </w:pPr>
    </w:p>
    <w:p w14:paraId="0DD31C20">
      <w:pPr>
        <w:jc w:val="center"/>
        <w:outlineLvl w:val="9"/>
        <w:rPr>
          <w:rFonts w:ascii="黑体" w:hAnsi="华文中宋" w:eastAsia="黑体"/>
          <w:bCs/>
          <w:color w:val="auto"/>
          <w:sz w:val="36"/>
          <w:szCs w:val="36"/>
          <w:highlight w:val="none"/>
        </w:rPr>
      </w:pPr>
      <w:r>
        <w:rPr>
          <w:rFonts w:hint="eastAsia" w:ascii="黑体" w:hAnsi="华文中宋" w:eastAsia="黑体"/>
          <w:bCs/>
          <w:color w:val="auto"/>
          <w:sz w:val="36"/>
          <w:szCs w:val="36"/>
          <w:highlight w:val="none"/>
          <w:lang w:eastAsia="zh-CN"/>
        </w:rPr>
        <w:t>二〇</w:t>
      </w:r>
      <w:r>
        <w:rPr>
          <w:rFonts w:hint="eastAsia" w:ascii="黑体" w:hAnsi="华文中宋" w:eastAsia="黑体"/>
          <w:bCs/>
          <w:color w:val="auto"/>
          <w:sz w:val="36"/>
          <w:szCs w:val="36"/>
          <w:highlight w:val="none"/>
        </w:rPr>
        <w:t>二</w:t>
      </w:r>
      <w:r>
        <w:rPr>
          <w:rFonts w:hint="eastAsia" w:ascii="黑体" w:hAnsi="华文中宋" w:eastAsia="黑体"/>
          <w:bCs/>
          <w:color w:val="auto"/>
          <w:sz w:val="36"/>
          <w:szCs w:val="36"/>
          <w:highlight w:val="none"/>
          <w:lang w:val="en-US" w:eastAsia="zh-CN"/>
        </w:rPr>
        <w:t>五</w:t>
      </w:r>
      <w:r>
        <w:rPr>
          <w:rFonts w:hint="eastAsia" w:ascii="黑体" w:hAnsi="华文中宋" w:eastAsia="黑体"/>
          <w:bCs/>
          <w:color w:val="auto"/>
          <w:sz w:val="36"/>
          <w:szCs w:val="36"/>
          <w:highlight w:val="none"/>
        </w:rPr>
        <w:t>年</w:t>
      </w:r>
      <w:r>
        <w:rPr>
          <w:rFonts w:hint="eastAsia" w:ascii="黑体" w:hAnsi="华文中宋" w:eastAsia="黑体"/>
          <w:bCs/>
          <w:color w:val="auto"/>
          <w:sz w:val="36"/>
          <w:szCs w:val="36"/>
          <w:highlight w:val="none"/>
          <w:lang w:val="en-US" w:eastAsia="zh-CN"/>
        </w:rPr>
        <w:t>十</w:t>
      </w:r>
      <w:r>
        <w:rPr>
          <w:rFonts w:hint="eastAsia" w:ascii="黑体" w:hAnsi="华文中宋" w:eastAsia="黑体"/>
          <w:bCs/>
          <w:color w:val="auto"/>
          <w:sz w:val="36"/>
          <w:szCs w:val="36"/>
          <w:highlight w:val="none"/>
        </w:rPr>
        <w:t>月</w:t>
      </w:r>
    </w:p>
    <w:p w14:paraId="0F1D4CD9">
      <w:pPr>
        <w:jc w:val="center"/>
        <w:outlineLvl w:val="9"/>
        <w:rPr>
          <w:rStyle w:val="297"/>
          <w:rFonts w:hint="eastAsia" w:eastAsia="黑体"/>
          <w:bCs/>
          <w:color w:val="auto"/>
          <w:sz w:val="48"/>
          <w:highlight w:val="none"/>
        </w:rPr>
        <w:sectPr>
          <w:headerReference r:id="rId4" w:type="first"/>
          <w:footerReference r:id="rId6" w:type="first"/>
          <w:headerReference r:id="rId3" w:type="default"/>
          <w:footerReference r:id="rId5" w:type="even"/>
          <w:type w:val="continuous"/>
          <w:pgSz w:w="11906" w:h="16838"/>
          <w:pgMar w:top="1134" w:right="1134" w:bottom="1134" w:left="1134" w:header="624" w:footer="907" w:gutter="0"/>
          <w:cols w:space="1701" w:num="1"/>
          <w:rtlGutter w:val="0"/>
          <w:docGrid w:linePitch="360" w:charSpace="0"/>
        </w:sectPr>
      </w:pPr>
    </w:p>
    <w:sdt>
      <w:sdtPr>
        <w:rPr>
          <w:rStyle w:val="297"/>
          <w:rFonts w:hint="default" w:ascii="Times New Roman" w:hAnsi="Times New Roman" w:eastAsia="黑体" w:cs="Times New Roman"/>
          <w:bCs/>
          <w:color w:val="auto"/>
          <w:sz w:val="48"/>
          <w:highlight w:val="none"/>
          <w:lang w:val="en-US" w:eastAsia="zh-CN"/>
        </w:rPr>
        <w:id w:val="147465384"/>
        <w15:color w:val="DBDBDB"/>
        <w:docPartObj>
          <w:docPartGallery w:val="Table of Contents"/>
          <w:docPartUnique/>
        </w:docPartObj>
      </w:sdtPr>
      <w:sdtEndPr>
        <w:rPr>
          <w:rStyle w:val="297"/>
          <w:rFonts w:hint="default" w:ascii="Times New Roman" w:hAnsi="Times New Roman" w:eastAsia="黑体" w:cs="Times New Roman"/>
          <w:bCs/>
          <w:color w:val="auto"/>
          <w:sz w:val="48"/>
          <w:highlight w:val="none"/>
          <w:lang w:val="en-US" w:eastAsia="zh-CN"/>
        </w:rPr>
      </w:sdtEndPr>
      <w:sdtContent>
        <w:p w14:paraId="0E69778A">
          <w:pPr>
            <w:jc w:val="center"/>
            <w:outlineLvl w:val="9"/>
            <w:rPr>
              <w:rStyle w:val="297"/>
              <w:rFonts w:hint="eastAsia" w:ascii="Times New Roman" w:hAnsi="Times New Roman" w:eastAsia="黑体" w:cs="Times New Roman"/>
              <w:bCs/>
              <w:color w:val="auto"/>
              <w:sz w:val="48"/>
              <w:highlight w:val="none"/>
            </w:rPr>
          </w:pPr>
          <w:r>
            <w:rPr>
              <w:rStyle w:val="297"/>
              <w:rFonts w:hint="eastAsia" w:ascii="Times New Roman" w:hAnsi="Times New Roman" w:eastAsia="黑体" w:cs="Times New Roman"/>
              <w:bCs/>
              <w:color w:val="auto"/>
              <w:sz w:val="48"/>
              <w:highlight w:val="none"/>
            </w:rPr>
            <w:t>目</w:t>
          </w:r>
          <w:r>
            <w:rPr>
              <w:rStyle w:val="297"/>
              <w:rFonts w:hint="eastAsia" w:ascii="Times New Roman" w:hAnsi="Times New Roman" w:eastAsia="黑体" w:cs="Times New Roman"/>
              <w:bCs/>
              <w:color w:val="auto"/>
              <w:sz w:val="48"/>
              <w:highlight w:val="none"/>
              <w:lang w:val="en-US" w:eastAsia="zh-CN"/>
            </w:rPr>
            <w:t xml:space="preserve">  </w:t>
          </w:r>
          <w:r>
            <w:rPr>
              <w:rStyle w:val="297"/>
              <w:rFonts w:hint="eastAsia" w:ascii="Times New Roman" w:hAnsi="Times New Roman" w:eastAsia="黑体" w:cs="Times New Roman"/>
              <w:bCs/>
              <w:color w:val="auto"/>
              <w:sz w:val="48"/>
              <w:highlight w:val="none"/>
            </w:rPr>
            <w:t>录</w:t>
          </w:r>
        </w:p>
        <w:p w14:paraId="0EB95ABA">
          <w:pPr>
            <w:pStyle w:val="27"/>
            <w:tabs>
              <w:tab w:val="right" w:pos="2800"/>
              <w:tab w:val="right" w:leader="dot" w:pos="9921"/>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p>
        <w:p w14:paraId="41052A88">
          <w:pPr>
            <w:pStyle w:val="27"/>
            <w:tabs>
              <w:tab w:val="right" w:leader="dot" w:pos="9921"/>
            </w:tabs>
            <w:spacing w:line="360" w:lineRule="auto"/>
            <w:rPr>
              <w:color w:val="auto"/>
              <w:sz w:val="30"/>
              <w:szCs w:val="30"/>
              <w:highlight w:val="none"/>
            </w:rPr>
          </w:pPr>
          <w:r>
            <w:rPr>
              <w:color w:val="auto"/>
              <w:sz w:val="30"/>
              <w:szCs w:val="30"/>
              <w:highlight w:val="none"/>
            </w:rPr>
            <w:fldChar w:fldCharType="begin"/>
          </w:r>
          <w:r>
            <w:rPr>
              <w:color w:val="auto"/>
              <w:sz w:val="30"/>
              <w:szCs w:val="30"/>
              <w:highlight w:val="none"/>
            </w:rPr>
            <w:instrText xml:space="preserve"> HYPERLINK \l _Toc17365 </w:instrText>
          </w:r>
          <w:r>
            <w:rPr>
              <w:color w:val="auto"/>
              <w:sz w:val="30"/>
              <w:szCs w:val="30"/>
              <w:highlight w:val="none"/>
            </w:rPr>
            <w:fldChar w:fldCharType="separate"/>
          </w:r>
          <w:r>
            <w:rPr>
              <w:rFonts w:hint="eastAsia" w:ascii="黑体" w:eastAsia="黑体"/>
              <w:bCs/>
              <w:color w:val="auto"/>
              <w:sz w:val="30"/>
              <w:szCs w:val="30"/>
              <w:highlight w:val="none"/>
            </w:rPr>
            <w:t>一．投标邀请函</w:t>
          </w:r>
          <w:r>
            <w:rPr>
              <w:color w:val="auto"/>
              <w:sz w:val="30"/>
              <w:szCs w:val="30"/>
              <w:highlight w:val="none"/>
            </w:rPr>
            <w:fldChar w:fldCharType="end"/>
          </w:r>
        </w:p>
        <w:p w14:paraId="267526BD">
          <w:pPr>
            <w:pStyle w:val="27"/>
            <w:tabs>
              <w:tab w:val="right" w:leader="dot" w:pos="9921"/>
            </w:tabs>
            <w:spacing w:line="360" w:lineRule="auto"/>
            <w:rPr>
              <w:color w:val="auto"/>
              <w:sz w:val="30"/>
              <w:szCs w:val="30"/>
              <w:highlight w:val="none"/>
            </w:rPr>
          </w:pPr>
          <w:r>
            <w:rPr>
              <w:color w:val="auto"/>
              <w:sz w:val="30"/>
              <w:szCs w:val="30"/>
              <w:highlight w:val="none"/>
            </w:rPr>
            <w:fldChar w:fldCharType="begin"/>
          </w:r>
          <w:r>
            <w:rPr>
              <w:color w:val="auto"/>
              <w:sz w:val="30"/>
              <w:szCs w:val="30"/>
              <w:highlight w:val="none"/>
            </w:rPr>
            <w:instrText xml:space="preserve"> HYPERLINK \l _Toc2367 </w:instrText>
          </w:r>
          <w:r>
            <w:rPr>
              <w:color w:val="auto"/>
              <w:sz w:val="30"/>
              <w:szCs w:val="30"/>
              <w:highlight w:val="none"/>
            </w:rPr>
            <w:fldChar w:fldCharType="separate"/>
          </w:r>
          <w:r>
            <w:rPr>
              <w:rFonts w:hint="eastAsia" w:ascii="黑体" w:eastAsia="黑体"/>
              <w:bCs/>
              <w:color w:val="auto"/>
              <w:sz w:val="30"/>
              <w:szCs w:val="30"/>
              <w:highlight w:val="none"/>
            </w:rPr>
            <w:t>二．投标供应商须知</w:t>
          </w:r>
          <w:r>
            <w:rPr>
              <w:color w:val="auto"/>
              <w:sz w:val="30"/>
              <w:szCs w:val="30"/>
              <w:highlight w:val="none"/>
            </w:rPr>
            <w:fldChar w:fldCharType="end"/>
          </w:r>
        </w:p>
        <w:p w14:paraId="54AEE2F9">
          <w:pPr>
            <w:pStyle w:val="27"/>
            <w:tabs>
              <w:tab w:val="right" w:leader="dot" w:pos="9921"/>
            </w:tabs>
            <w:spacing w:line="360" w:lineRule="auto"/>
            <w:rPr>
              <w:rFonts w:hint="eastAsia" w:eastAsia="宋体"/>
              <w:color w:val="auto"/>
              <w:sz w:val="30"/>
              <w:szCs w:val="30"/>
              <w:highlight w:val="none"/>
              <w:lang w:val="en-US" w:eastAsia="zh-CN"/>
            </w:rPr>
          </w:pPr>
          <w:r>
            <w:rPr>
              <w:color w:val="auto"/>
              <w:sz w:val="30"/>
              <w:szCs w:val="30"/>
              <w:highlight w:val="none"/>
            </w:rPr>
            <w:fldChar w:fldCharType="begin"/>
          </w:r>
          <w:r>
            <w:rPr>
              <w:color w:val="auto"/>
              <w:sz w:val="30"/>
              <w:szCs w:val="30"/>
              <w:highlight w:val="none"/>
            </w:rPr>
            <w:instrText xml:space="preserve"> HYPERLINK \l _Toc14516 </w:instrText>
          </w:r>
          <w:r>
            <w:rPr>
              <w:color w:val="auto"/>
              <w:sz w:val="30"/>
              <w:szCs w:val="30"/>
              <w:highlight w:val="none"/>
            </w:rPr>
            <w:fldChar w:fldCharType="separate"/>
          </w:r>
          <w:r>
            <w:rPr>
              <w:rFonts w:hint="eastAsia" w:ascii="黑体" w:eastAsia="黑体"/>
              <w:bCs/>
              <w:color w:val="auto"/>
              <w:sz w:val="30"/>
              <w:szCs w:val="30"/>
              <w:highlight w:val="none"/>
            </w:rPr>
            <w:t>三．项目技术要求和有关说明</w:t>
          </w:r>
          <w:r>
            <w:rPr>
              <w:color w:val="auto"/>
              <w:sz w:val="30"/>
              <w:szCs w:val="30"/>
              <w:highlight w:val="none"/>
            </w:rPr>
            <w:fldChar w:fldCharType="end"/>
          </w:r>
        </w:p>
        <w:p w14:paraId="24471BA0">
          <w:pPr>
            <w:pStyle w:val="27"/>
            <w:tabs>
              <w:tab w:val="right" w:leader="dot" w:pos="9921"/>
            </w:tabs>
            <w:spacing w:line="360" w:lineRule="auto"/>
            <w:rPr>
              <w:rFonts w:hint="eastAsia" w:eastAsia="宋体"/>
              <w:color w:val="auto"/>
              <w:sz w:val="30"/>
              <w:szCs w:val="30"/>
              <w:highlight w:val="none"/>
              <w:lang w:val="en-US" w:eastAsia="zh-CN"/>
            </w:rPr>
          </w:pPr>
          <w:r>
            <w:rPr>
              <w:color w:val="auto"/>
              <w:sz w:val="30"/>
              <w:szCs w:val="30"/>
              <w:highlight w:val="none"/>
            </w:rPr>
            <w:fldChar w:fldCharType="begin"/>
          </w:r>
          <w:r>
            <w:rPr>
              <w:color w:val="auto"/>
              <w:sz w:val="30"/>
              <w:szCs w:val="30"/>
              <w:highlight w:val="none"/>
            </w:rPr>
            <w:instrText xml:space="preserve"> HYPERLINK \l _Toc18156 </w:instrText>
          </w:r>
          <w:r>
            <w:rPr>
              <w:color w:val="auto"/>
              <w:sz w:val="30"/>
              <w:szCs w:val="30"/>
              <w:highlight w:val="none"/>
            </w:rPr>
            <w:fldChar w:fldCharType="separate"/>
          </w:r>
          <w:r>
            <w:rPr>
              <w:rFonts w:hint="eastAsia" w:ascii="黑体" w:eastAsia="黑体"/>
              <w:bCs/>
              <w:color w:val="auto"/>
              <w:sz w:val="30"/>
              <w:szCs w:val="30"/>
              <w:highlight w:val="none"/>
            </w:rPr>
            <w:t>四．合同书（格式文本）</w:t>
          </w:r>
          <w:r>
            <w:rPr>
              <w:color w:val="auto"/>
              <w:sz w:val="30"/>
              <w:szCs w:val="30"/>
              <w:highlight w:val="none"/>
            </w:rPr>
            <w:fldChar w:fldCharType="end"/>
          </w:r>
        </w:p>
        <w:p w14:paraId="5780A074">
          <w:pPr>
            <w:pStyle w:val="27"/>
            <w:tabs>
              <w:tab w:val="right" w:leader="dot" w:pos="9921"/>
            </w:tabs>
            <w:spacing w:line="360" w:lineRule="auto"/>
            <w:rPr>
              <w:rFonts w:hint="eastAsia" w:eastAsia="宋体"/>
              <w:color w:val="auto"/>
              <w:sz w:val="30"/>
              <w:szCs w:val="30"/>
              <w:highlight w:val="none"/>
              <w:lang w:val="en-US" w:eastAsia="zh-CN"/>
            </w:rPr>
          </w:pPr>
          <w:r>
            <w:rPr>
              <w:color w:val="auto"/>
              <w:sz w:val="30"/>
              <w:szCs w:val="30"/>
              <w:highlight w:val="none"/>
            </w:rPr>
            <w:fldChar w:fldCharType="begin"/>
          </w:r>
          <w:r>
            <w:rPr>
              <w:color w:val="auto"/>
              <w:sz w:val="30"/>
              <w:szCs w:val="30"/>
              <w:highlight w:val="none"/>
            </w:rPr>
            <w:instrText xml:space="preserve"> HYPERLINK \l _Toc13168 </w:instrText>
          </w:r>
          <w:r>
            <w:rPr>
              <w:color w:val="auto"/>
              <w:sz w:val="30"/>
              <w:szCs w:val="30"/>
              <w:highlight w:val="none"/>
            </w:rPr>
            <w:fldChar w:fldCharType="separate"/>
          </w:r>
          <w:r>
            <w:rPr>
              <w:rFonts w:hint="eastAsia" w:ascii="黑体" w:eastAsia="黑体"/>
              <w:bCs/>
              <w:color w:val="auto"/>
              <w:sz w:val="30"/>
              <w:szCs w:val="30"/>
              <w:highlight w:val="none"/>
              <w:lang w:val="en-US" w:eastAsia="zh-CN"/>
            </w:rPr>
            <w:t>五</w:t>
          </w:r>
          <w:r>
            <w:rPr>
              <w:rFonts w:hint="eastAsia" w:ascii="黑体" w:eastAsia="黑体"/>
              <w:bCs/>
              <w:color w:val="auto"/>
              <w:sz w:val="30"/>
              <w:szCs w:val="30"/>
              <w:highlight w:val="none"/>
            </w:rPr>
            <w:t>．</w:t>
          </w:r>
          <w:r>
            <w:rPr>
              <w:rFonts w:hint="eastAsia" w:ascii="黑体" w:eastAsia="黑体"/>
              <w:bCs/>
              <w:color w:val="auto"/>
              <w:sz w:val="30"/>
              <w:szCs w:val="30"/>
              <w:highlight w:val="none"/>
              <w:lang w:val="en-US" w:eastAsia="zh-CN"/>
            </w:rPr>
            <w:t>合同条款</w:t>
          </w:r>
          <w:r>
            <w:rPr>
              <w:color w:val="auto"/>
              <w:sz w:val="30"/>
              <w:szCs w:val="30"/>
              <w:highlight w:val="none"/>
            </w:rPr>
            <w:fldChar w:fldCharType="end"/>
          </w:r>
        </w:p>
        <w:p w14:paraId="267CAE30">
          <w:pPr>
            <w:pStyle w:val="27"/>
            <w:tabs>
              <w:tab w:val="right" w:leader="dot" w:pos="9921"/>
            </w:tabs>
            <w:spacing w:line="360" w:lineRule="auto"/>
            <w:rPr>
              <w:rFonts w:hint="eastAsia" w:eastAsia="宋体"/>
              <w:color w:val="auto"/>
              <w:highlight w:val="none"/>
              <w:lang w:val="en-US" w:eastAsia="zh-CN"/>
            </w:rPr>
          </w:pPr>
          <w:r>
            <w:rPr>
              <w:color w:val="auto"/>
              <w:sz w:val="30"/>
              <w:szCs w:val="30"/>
              <w:highlight w:val="none"/>
            </w:rPr>
            <w:fldChar w:fldCharType="begin"/>
          </w:r>
          <w:r>
            <w:rPr>
              <w:color w:val="auto"/>
              <w:sz w:val="30"/>
              <w:szCs w:val="30"/>
              <w:highlight w:val="none"/>
            </w:rPr>
            <w:instrText xml:space="preserve"> HYPERLINK \l _Toc8588 </w:instrText>
          </w:r>
          <w:r>
            <w:rPr>
              <w:color w:val="auto"/>
              <w:sz w:val="30"/>
              <w:szCs w:val="30"/>
              <w:highlight w:val="none"/>
            </w:rPr>
            <w:fldChar w:fldCharType="separate"/>
          </w:r>
          <w:r>
            <w:rPr>
              <w:rFonts w:hint="eastAsia" w:ascii="黑体" w:eastAsia="黑体"/>
              <w:bCs/>
              <w:color w:val="auto"/>
              <w:sz w:val="30"/>
              <w:szCs w:val="30"/>
              <w:highlight w:val="none"/>
            </w:rPr>
            <w:t>六．附件</w:t>
          </w:r>
          <w:r>
            <w:rPr>
              <w:color w:val="auto"/>
              <w:sz w:val="30"/>
              <w:szCs w:val="30"/>
              <w:highlight w:val="none"/>
            </w:rPr>
            <w:fldChar w:fldCharType="end"/>
          </w:r>
        </w:p>
        <w:p w14:paraId="0F08EFA7">
          <w:pPr>
            <w:rPr>
              <w:color w:val="auto"/>
              <w:highlight w:val="none"/>
            </w:rPr>
          </w:pPr>
          <w:r>
            <w:rPr>
              <w:color w:val="auto"/>
              <w:highlight w:val="none"/>
            </w:rPr>
            <w:fldChar w:fldCharType="end"/>
          </w:r>
        </w:p>
      </w:sdtContent>
    </w:sdt>
    <w:p w14:paraId="077C7680">
      <w:pPr>
        <w:rPr>
          <w:color w:val="auto"/>
          <w:highlight w:val="none"/>
        </w:rPr>
      </w:pPr>
    </w:p>
    <w:p w14:paraId="51E2607F">
      <w:pPr>
        <w:jc w:val="center"/>
        <w:outlineLvl w:val="9"/>
        <w:rPr>
          <w:rStyle w:val="297"/>
          <w:rFonts w:hint="eastAsia" w:eastAsia="黑体"/>
          <w:bCs/>
          <w:color w:val="auto"/>
          <w:sz w:val="48"/>
          <w:highlight w:val="none"/>
        </w:rPr>
      </w:pPr>
    </w:p>
    <w:p w14:paraId="5714BE61">
      <w:pPr>
        <w:jc w:val="center"/>
        <w:outlineLvl w:val="9"/>
        <w:rPr>
          <w:rFonts w:ascii="黑体" w:eastAsia="黑体"/>
          <w:bCs/>
          <w:color w:val="auto"/>
          <w:sz w:val="30"/>
          <w:highlight w:val="none"/>
        </w:rPr>
      </w:pPr>
    </w:p>
    <w:p w14:paraId="151DA9F3">
      <w:pPr>
        <w:spacing w:line="720" w:lineRule="auto"/>
        <w:ind w:firstLine="450"/>
        <w:outlineLvl w:val="9"/>
        <w:rPr>
          <w:rFonts w:hint="eastAsia" w:ascii="宋体" w:hAnsi="宋体"/>
          <w:bCs/>
          <w:color w:val="auto"/>
          <w:sz w:val="30"/>
          <w:szCs w:val="30"/>
          <w:highlight w:val="none"/>
        </w:rPr>
      </w:pPr>
    </w:p>
    <w:p w14:paraId="22CE655F">
      <w:pPr>
        <w:pStyle w:val="205"/>
        <w:rPr>
          <w:color w:val="auto"/>
          <w:highlight w:val="none"/>
        </w:rPr>
      </w:pPr>
    </w:p>
    <w:p w14:paraId="6013188D">
      <w:pPr>
        <w:spacing w:line="360" w:lineRule="auto"/>
        <w:jc w:val="center"/>
        <w:outlineLvl w:val="9"/>
        <w:rPr>
          <w:rFonts w:ascii="黑体" w:eastAsia="黑体"/>
          <w:bCs/>
          <w:color w:val="auto"/>
          <w:sz w:val="28"/>
          <w:szCs w:val="28"/>
          <w:highlight w:val="none"/>
        </w:rPr>
        <w:sectPr>
          <w:footerReference r:id="rId7" w:type="default"/>
          <w:pgSz w:w="11906" w:h="16838"/>
          <w:pgMar w:top="1134" w:right="1134" w:bottom="1134" w:left="1134" w:header="624" w:footer="907" w:gutter="0"/>
          <w:pgNumType w:start="2"/>
          <w:cols w:space="1701" w:num="1"/>
          <w:rtlGutter w:val="0"/>
          <w:docGrid w:linePitch="360" w:charSpace="0"/>
        </w:sectPr>
      </w:pPr>
      <w:bookmarkStart w:id="0" w:name="报价方须知前附表"/>
      <w:bookmarkEnd w:id="0"/>
    </w:p>
    <w:p w14:paraId="3F15DE15">
      <w:pPr>
        <w:spacing w:line="360" w:lineRule="auto"/>
        <w:jc w:val="center"/>
        <w:outlineLvl w:val="0"/>
        <w:rPr>
          <w:rFonts w:ascii="黑体" w:eastAsia="黑体"/>
          <w:bCs/>
          <w:color w:val="auto"/>
          <w:sz w:val="28"/>
          <w:szCs w:val="28"/>
          <w:highlight w:val="none"/>
        </w:rPr>
      </w:pPr>
      <w:bookmarkStart w:id="1" w:name="_Toc17365"/>
      <w:r>
        <w:rPr>
          <w:rFonts w:hint="eastAsia" w:ascii="黑体" w:eastAsia="黑体"/>
          <w:bCs/>
          <w:color w:val="auto"/>
          <w:sz w:val="28"/>
          <w:szCs w:val="28"/>
          <w:highlight w:val="none"/>
          <w:lang w:eastAsia="zh-CN"/>
        </w:rPr>
        <w:t>一、</w:t>
      </w:r>
      <w:r>
        <w:rPr>
          <w:rFonts w:hint="eastAsia" w:ascii="黑体" w:eastAsia="黑体"/>
          <w:bCs/>
          <w:color w:val="auto"/>
          <w:sz w:val="28"/>
          <w:szCs w:val="28"/>
          <w:highlight w:val="none"/>
        </w:rPr>
        <w:t>投标邀请函</w:t>
      </w:r>
      <w:bookmarkEnd w:id="1"/>
    </w:p>
    <w:p w14:paraId="0C0A96E8">
      <w:pPr>
        <w:keepNext w:val="0"/>
        <w:keepLines w:val="0"/>
        <w:pageBreakBefore w:val="0"/>
        <w:spacing w:line="360" w:lineRule="auto"/>
        <w:ind w:firstLine="480"/>
        <w:jc w:val="both"/>
        <w:outlineLvl w:val="9"/>
        <w:rPr>
          <w:rFonts w:ascii="宋体" w:hAnsi="宋体"/>
          <w:bCs/>
          <w:color w:val="auto"/>
          <w:sz w:val="24"/>
          <w:szCs w:val="24"/>
          <w:highlight w:val="none"/>
        </w:rPr>
      </w:pPr>
      <w:r>
        <w:rPr>
          <w:rFonts w:hint="eastAsia" w:ascii="宋体" w:hAnsi="宋体"/>
          <w:bCs/>
          <w:color w:val="auto"/>
          <w:sz w:val="24"/>
          <w:szCs w:val="24"/>
          <w:highlight w:val="none"/>
          <w:lang w:eastAsia="zh-CN"/>
        </w:rPr>
        <w:t>无锡彰誉技术咨询有限公司</w:t>
      </w:r>
      <w:r>
        <w:rPr>
          <w:rFonts w:hint="eastAsia" w:ascii="宋体" w:hAnsi="宋体"/>
          <w:bCs/>
          <w:color w:val="auto"/>
          <w:sz w:val="24"/>
          <w:szCs w:val="24"/>
          <w:highlight w:val="none"/>
        </w:rPr>
        <w:t>受</w:t>
      </w:r>
      <w:r>
        <w:rPr>
          <w:rFonts w:hint="eastAsia" w:ascii="宋体" w:hAnsi="宋体"/>
          <w:bCs/>
          <w:color w:val="auto"/>
          <w:sz w:val="24"/>
          <w:szCs w:val="24"/>
          <w:highlight w:val="none"/>
          <w:lang w:eastAsia="zh-CN"/>
        </w:rPr>
        <w:t>无锡市新吴区人民政府鸿山街道办事处</w:t>
      </w:r>
      <w:r>
        <w:rPr>
          <w:rFonts w:hint="eastAsia" w:ascii="宋体" w:hAnsi="宋体"/>
          <w:bCs/>
          <w:color w:val="auto"/>
          <w:sz w:val="24"/>
          <w:szCs w:val="24"/>
          <w:highlight w:val="none"/>
        </w:rPr>
        <w:t>委托，对</w:t>
      </w:r>
      <w:r>
        <w:rPr>
          <w:rFonts w:hint="eastAsia" w:ascii="宋体" w:hAnsi="宋体"/>
          <w:bCs/>
          <w:color w:val="auto"/>
          <w:sz w:val="24"/>
          <w:szCs w:val="24"/>
          <w:highlight w:val="none"/>
          <w:lang w:eastAsia="zh-CN"/>
        </w:rPr>
        <w:t>2025—2027年鸿山街道特种设备安全、非特种设备升降平台安全和食品安全第三方信息化协管项目</w:t>
      </w:r>
      <w:r>
        <w:rPr>
          <w:rFonts w:hint="eastAsia" w:ascii="宋体" w:hAnsi="宋体"/>
          <w:bCs/>
          <w:color w:val="auto"/>
          <w:sz w:val="24"/>
          <w:szCs w:val="24"/>
          <w:highlight w:val="none"/>
        </w:rPr>
        <w:t>进行公开招标采购，欢迎符合相关条件的供应商参加投标并提请注意下列相关事项：</w:t>
      </w:r>
    </w:p>
    <w:p w14:paraId="7DD8460F">
      <w:pPr>
        <w:keepNext w:val="0"/>
        <w:keepLines w:val="0"/>
        <w:pageBreakBefore w:val="0"/>
        <w:spacing w:line="360" w:lineRule="auto"/>
        <w:ind w:firstLine="480"/>
        <w:jc w:val="both"/>
        <w:outlineLvl w:val="1"/>
        <w:rPr>
          <w:rFonts w:ascii="黑体" w:hAnsi="黑体" w:eastAsia="黑体"/>
          <w:bCs/>
          <w:color w:val="auto"/>
          <w:sz w:val="24"/>
          <w:szCs w:val="24"/>
          <w:highlight w:val="none"/>
        </w:rPr>
      </w:pPr>
      <w:r>
        <w:rPr>
          <w:rFonts w:hint="eastAsia" w:ascii="黑体" w:hAnsi="黑体" w:eastAsia="黑体"/>
          <w:bCs/>
          <w:color w:val="auto"/>
          <w:sz w:val="24"/>
          <w:szCs w:val="24"/>
          <w:highlight w:val="none"/>
        </w:rPr>
        <w:t>（一）</w:t>
      </w:r>
      <w:r>
        <w:rPr>
          <w:rFonts w:hint="eastAsia" w:ascii="黑体" w:hAnsi="黑体" w:eastAsia="黑体" w:cs="宋体"/>
          <w:color w:val="auto"/>
          <w:sz w:val="24"/>
          <w:szCs w:val="24"/>
          <w:highlight w:val="none"/>
        </w:rPr>
        <w:t>招标项目信息</w:t>
      </w:r>
    </w:p>
    <w:p w14:paraId="7F88993A">
      <w:pPr>
        <w:keepNext w:val="0"/>
        <w:keepLines w:val="0"/>
        <w:pageBreakBefore w:val="0"/>
        <w:widowControl/>
        <w:spacing w:line="360" w:lineRule="auto"/>
        <w:ind w:firstLine="480"/>
        <w:jc w:val="both"/>
        <w:outlineLvl w:val="9"/>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1.项目名称：</w:t>
      </w:r>
      <w:r>
        <w:rPr>
          <w:rFonts w:hint="eastAsia" w:ascii="宋体" w:hAnsi="宋体"/>
          <w:color w:val="auto"/>
          <w:sz w:val="24"/>
          <w:szCs w:val="24"/>
          <w:highlight w:val="none"/>
          <w:lang w:eastAsia="zh-CN"/>
        </w:rPr>
        <w:t>2025—2027年鸿山街道特种设备安全、非特种设备升降平台安全和食品安全第三方信息化协管项目</w:t>
      </w:r>
    </w:p>
    <w:p w14:paraId="415DC50C">
      <w:pPr>
        <w:keepNext w:val="0"/>
        <w:keepLines w:val="0"/>
        <w:pageBreakBefore w:val="0"/>
        <w:widowControl/>
        <w:spacing w:line="360" w:lineRule="auto"/>
        <w:ind w:firstLine="480"/>
        <w:jc w:val="both"/>
        <w:outlineLvl w:val="9"/>
        <w:rPr>
          <w:rFonts w:hint="default" w:ascii="宋体" w:hAnsi="宋体"/>
          <w:color w:val="auto"/>
          <w:sz w:val="24"/>
          <w:szCs w:val="24"/>
          <w:highlight w:val="none"/>
          <w:lang w:val="en-US"/>
        </w:rPr>
      </w:pPr>
      <w:r>
        <w:rPr>
          <w:rFonts w:hint="eastAsia" w:ascii="宋体" w:hAnsi="宋体"/>
          <w:color w:val="auto"/>
          <w:sz w:val="24"/>
          <w:szCs w:val="24"/>
          <w:highlight w:val="none"/>
        </w:rPr>
        <w:t>2.项目编号：</w:t>
      </w:r>
      <w:r>
        <w:rPr>
          <w:rFonts w:hint="eastAsia" w:ascii="宋体" w:hAnsi="宋体"/>
          <w:color w:val="auto"/>
          <w:sz w:val="24"/>
          <w:szCs w:val="24"/>
          <w:highlight w:val="none"/>
          <w:lang w:val="en-US" w:eastAsia="zh-CN"/>
        </w:rPr>
        <w:t>JSZC-320214-ZRJJ-G2025-0010</w:t>
      </w:r>
    </w:p>
    <w:p w14:paraId="645A2A08">
      <w:pPr>
        <w:keepNext w:val="0"/>
        <w:keepLines w:val="0"/>
        <w:pageBreakBefore w:val="0"/>
        <w:widowControl/>
        <w:spacing w:line="360" w:lineRule="auto"/>
        <w:ind w:firstLine="480"/>
        <w:jc w:val="both"/>
        <w:outlineLvl w:val="9"/>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3.项目概况和要求：根据《特种设备生产单位落实质量安全主体责任监督管理规定》（国家市场监督管理总局令第73号）、《特种设备使用单位落实使用安全主体责任监督管理规定》（国家市场监督管理总局令第74号）等文件要求，为了继续加强街道辖区特种设备安全管理工作，督促特种设备使用单位进一步落实特种设备安全主体责任，提升特种设备安全治理能力，有效解决安全监管力量不足等突出问题，依托外部机构在特种设备安全技术、人才以及服务等方面的资源优势，构建“数据排查、隐患上报、指导调整、问题移交、报告反馈”的工作机制，确定1家服务机构，协助鸿山街道市场监督管理局对特种设备使用单位进行安全风险排查，以及做好新吴区其他特种设备安全排查各项工作。协助鸿山街道对指定范围内的食品经营服务提供者开展日常管理，提升辖区食品安全水平，加快建设和部署食品安全社会共治机制。鸿山街道管辖区域内目前登记在册特种设备6511台，特种设备使用单位1011家，非特种设备类升降平台104台，小餐饮服务单位544家，食品小作坊生产加工者40家。具体数量和区域根据鸿山街道实际情况确定。</w:t>
      </w:r>
    </w:p>
    <w:p w14:paraId="025FF081">
      <w:pPr>
        <w:keepNext w:val="0"/>
        <w:keepLines w:val="0"/>
        <w:pageBreakBefore w:val="0"/>
        <w:widowControl/>
        <w:spacing w:line="360" w:lineRule="auto"/>
        <w:ind w:firstLine="480"/>
        <w:jc w:val="both"/>
        <w:outlineLvl w:val="9"/>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服务期限：两年（以合同签订日期为准）。</w:t>
      </w:r>
    </w:p>
    <w:p w14:paraId="2A092680">
      <w:pPr>
        <w:keepNext w:val="0"/>
        <w:keepLines w:val="0"/>
        <w:pageBreakBefore w:val="0"/>
        <w:widowControl/>
        <w:spacing w:line="360" w:lineRule="auto"/>
        <w:ind w:firstLine="480"/>
        <w:jc w:val="both"/>
        <w:outlineLvl w:val="9"/>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4.质量要求：符合国家相关标准要求，满足招标人要求。</w:t>
      </w:r>
    </w:p>
    <w:p w14:paraId="3B05C192">
      <w:pPr>
        <w:keepNext w:val="0"/>
        <w:keepLines w:val="0"/>
        <w:pageBreakBefore w:val="0"/>
        <w:widowControl/>
        <w:spacing w:line="360" w:lineRule="auto"/>
        <w:ind w:firstLine="480"/>
        <w:jc w:val="both"/>
        <w:outlineLvl w:val="9"/>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.项目预算：</w:t>
      </w:r>
      <w:r>
        <w:rPr>
          <w:rFonts w:hint="eastAsia" w:ascii="宋体" w:hAnsi="宋体"/>
          <w:color w:val="auto"/>
          <w:sz w:val="24"/>
          <w:szCs w:val="24"/>
          <w:highlight w:val="none"/>
          <w:lang w:val="en-US" w:eastAsia="zh-CN"/>
        </w:rPr>
        <w:t>1800000</w:t>
      </w:r>
      <w:r>
        <w:rPr>
          <w:rFonts w:hint="eastAsia" w:ascii="宋体" w:hAnsi="宋体"/>
          <w:color w:val="auto"/>
          <w:sz w:val="24"/>
          <w:szCs w:val="24"/>
          <w:highlight w:val="none"/>
          <w:lang w:eastAsia="zh-CN"/>
        </w:rPr>
        <w:t>元/两年。</w:t>
      </w:r>
      <w:r>
        <w:rPr>
          <w:rFonts w:hint="eastAsia" w:ascii="宋体" w:hAnsi="宋体"/>
          <w:color w:val="auto"/>
          <w:sz w:val="24"/>
          <w:szCs w:val="24"/>
          <w:highlight w:val="none"/>
        </w:rPr>
        <w:t>项目最高限价：</w:t>
      </w:r>
      <w:r>
        <w:rPr>
          <w:rFonts w:hint="eastAsia" w:ascii="宋体" w:hAnsi="宋体"/>
          <w:color w:val="auto"/>
          <w:sz w:val="24"/>
          <w:szCs w:val="24"/>
          <w:highlight w:val="none"/>
          <w:lang w:val="en-US" w:eastAsia="zh-CN"/>
        </w:rPr>
        <w:t>1800000</w:t>
      </w:r>
      <w:r>
        <w:rPr>
          <w:rFonts w:hint="eastAsia" w:ascii="宋体" w:hAnsi="宋体"/>
          <w:color w:val="auto"/>
          <w:sz w:val="24"/>
          <w:szCs w:val="24"/>
          <w:highlight w:val="none"/>
          <w:lang w:eastAsia="zh-CN"/>
        </w:rPr>
        <w:t>元</w:t>
      </w:r>
      <w:r>
        <w:rPr>
          <w:rFonts w:hint="eastAsia" w:ascii="宋体" w:hAnsi="宋体"/>
          <w:color w:val="auto"/>
          <w:sz w:val="24"/>
          <w:szCs w:val="24"/>
          <w:highlight w:val="none"/>
          <w:lang w:val="en-US" w:eastAsia="zh-CN"/>
        </w:rPr>
        <w:t>/两年</w:t>
      </w:r>
      <w:r>
        <w:rPr>
          <w:rFonts w:hint="eastAsia" w:ascii="宋体" w:hAnsi="宋体"/>
          <w:color w:val="auto"/>
          <w:sz w:val="24"/>
          <w:szCs w:val="24"/>
          <w:highlight w:val="none"/>
          <w:lang w:eastAsia="zh-CN"/>
        </w:rPr>
        <w:t>，投标报价不得超过最高限价，否则作无效</w:t>
      </w:r>
      <w:r>
        <w:rPr>
          <w:rFonts w:hint="eastAsia" w:ascii="宋体" w:hAnsi="宋体"/>
          <w:color w:val="auto"/>
          <w:sz w:val="24"/>
          <w:szCs w:val="24"/>
          <w:highlight w:val="none"/>
          <w:lang w:val="en-US" w:eastAsia="zh-CN"/>
        </w:rPr>
        <w:t>投标</w:t>
      </w:r>
      <w:r>
        <w:rPr>
          <w:rFonts w:hint="eastAsia" w:ascii="宋体" w:hAnsi="宋体"/>
          <w:color w:val="auto"/>
          <w:sz w:val="24"/>
          <w:szCs w:val="24"/>
          <w:highlight w:val="none"/>
          <w:lang w:eastAsia="zh-CN"/>
        </w:rPr>
        <w:t>文件处理。</w:t>
      </w:r>
    </w:p>
    <w:p w14:paraId="6EC64499">
      <w:pPr>
        <w:keepNext w:val="0"/>
        <w:keepLines w:val="0"/>
        <w:pageBreakBefore w:val="0"/>
        <w:widowControl/>
        <w:spacing w:line="360" w:lineRule="auto"/>
        <w:ind w:firstLine="480"/>
        <w:jc w:val="both"/>
        <w:outlineLvl w:val="9"/>
        <w:rPr>
          <w:rFonts w:ascii="宋体" w:hAnsi="宋体"/>
          <w:color w:val="auto"/>
          <w:sz w:val="24"/>
          <w:szCs w:val="24"/>
          <w:highlight w:val="none"/>
        </w:rPr>
      </w:pPr>
      <w:r>
        <w:rPr>
          <w:rFonts w:hint="eastAsia" w:ascii="宋体" w:hAnsi="宋体"/>
          <w:color w:val="auto"/>
          <w:sz w:val="24"/>
          <w:szCs w:val="24"/>
          <w:highlight w:val="none"/>
        </w:rPr>
        <w:t>6.采购方式：公开招标</w:t>
      </w:r>
    </w:p>
    <w:p w14:paraId="683E5BA4">
      <w:pPr>
        <w:keepNext w:val="0"/>
        <w:keepLines w:val="0"/>
        <w:pageBreakBefore w:val="0"/>
        <w:widowControl/>
        <w:spacing w:line="360" w:lineRule="auto"/>
        <w:ind w:firstLine="480"/>
        <w:jc w:val="both"/>
        <w:outlineLvl w:val="9"/>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.采购人：</w:t>
      </w:r>
      <w:r>
        <w:rPr>
          <w:rFonts w:hint="eastAsia" w:ascii="宋体" w:hAnsi="宋体"/>
          <w:color w:val="auto"/>
          <w:sz w:val="24"/>
          <w:szCs w:val="24"/>
          <w:highlight w:val="none"/>
          <w:lang w:eastAsia="zh-CN"/>
        </w:rPr>
        <w:t>无锡市新吴区人民政府鸿山街道办事处</w:t>
      </w:r>
    </w:p>
    <w:p w14:paraId="7D73AAC7">
      <w:pPr>
        <w:keepNext w:val="0"/>
        <w:keepLines w:val="0"/>
        <w:pageBreakBefore w:val="0"/>
        <w:widowControl/>
        <w:spacing w:line="360" w:lineRule="auto"/>
        <w:ind w:firstLine="480"/>
        <w:jc w:val="both"/>
        <w:outlineLvl w:val="9"/>
        <w:rPr>
          <w:rFonts w:ascii="宋体" w:hAnsi="宋体"/>
          <w:color w:val="auto"/>
          <w:sz w:val="24"/>
          <w:szCs w:val="24"/>
          <w:highlight w:val="none"/>
        </w:rPr>
      </w:pPr>
      <w:r>
        <w:rPr>
          <w:rFonts w:hint="eastAsia" w:ascii="宋体" w:hAnsi="宋体"/>
          <w:color w:val="auto"/>
          <w:sz w:val="24"/>
          <w:szCs w:val="24"/>
          <w:highlight w:val="none"/>
        </w:rPr>
        <w:t>8.本项目标的所属行业：</w:t>
      </w:r>
      <w:r>
        <w:rPr>
          <w:rFonts w:hint="eastAsia" w:ascii="宋体" w:hAnsi="宋体"/>
          <w:bCs/>
          <w:color w:val="auto"/>
          <w:sz w:val="24"/>
          <w:szCs w:val="24"/>
          <w:highlight w:val="none"/>
          <w:u w:val="none"/>
        </w:rPr>
        <w:t>其他未列明行业。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p>
    <w:p w14:paraId="6B69831C">
      <w:pPr>
        <w:keepNext w:val="0"/>
        <w:keepLines w:val="0"/>
        <w:pageBreakBefore w:val="0"/>
        <w:widowControl/>
        <w:spacing w:line="360" w:lineRule="auto"/>
        <w:ind w:firstLine="480"/>
        <w:jc w:val="both"/>
        <w:outlineLvl w:val="9"/>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9.本项目是否专门面向中小企业：</w:t>
      </w:r>
      <w:r>
        <w:rPr>
          <w:rFonts w:hint="eastAsia" w:ascii="宋体" w:hAnsi="宋体"/>
          <w:color w:val="auto"/>
          <w:sz w:val="24"/>
          <w:szCs w:val="24"/>
          <w:highlight w:val="none"/>
          <w:lang w:val="en-US" w:eastAsia="zh-CN"/>
        </w:rPr>
        <w:t>是</w:t>
      </w:r>
    </w:p>
    <w:p w14:paraId="1735CF75">
      <w:pPr>
        <w:keepNext w:val="0"/>
        <w:keepLines w:val="0"/>
        <w:pageBreakBefore w:val="0"/>
        <w:spacing w:line="360" w:lineRule="auto"/>
        <w:ind w:firstLine="480"/>
        <w:jc w:val="both"/>
        <w:outlineLvl w:val="1"/>
        <w:rPr>
          <w:rFonts w:hint="eastAsia" w:ascii="黑体" w:hAnsi="黑体" w:eastAsia="黑体" w:cs="Times New Roman"/>
          <w:bCs/>
          <w:color w:val="auto"/>
          <w:sz w:val="24"/>
          <w:szCs w:val="24"/>
          <w:highlight w:val="none"/>
        </w:rPr>
      </w:pPr>
      <w:r>
        <w:rPr>
          <w:rFonts w:hint="eastAsia" w:ascii="黑体" w:hAnsi="黑体" w:eastAsia="黑体" w:cs="Times New Roman"/>
          <w:bCs/>
          <w:color w:val="auto"/>
          <w:sz w:val="24"/>
          <w:szCs w:val="24"/>
          <w:highlight w:val="none"/>
        </w:rPr>
        <w:t>（二）投标供应商资格要求</w:t>
      </w:r>
    </w:p>
    <w:p w14:paraId="2424D3AD">
      <w:pPr>
        <w:spacing w:line="360" w:lineRule="auto"/>
        <w:ind w:firstLine="480" w:firstLineChars="20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cs="宋体"/>
          <w:bCs/>
          <w:color w:val="auto"/>
          <w:sz w:val="24"/>
          <w:szCs w:val="24"/>
          <w:highlight w:val="none"/>
        </w:rPr>
        <w:t>满足《中华人民共和国政府采购法》第二十二条规定；</w:t>
      </w:r>
    </w:p>
    <w:p w14:paraId="028D8AB1">
      <w:pPr>
        <w:spacing w:line="360" w:lineRule="auto"/>
        <w:ind w:firstLine="480" w:firstLineChars="20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cs="宋体"/>
          <w:bCs/>
          <w:color w:val="auto"/>
          <w:sz w:val="24"/>
          <w:szCs w:val="24"/>
          <w:highlight w:val="none"/>
        </w:rPr>
        <w:t>未被“信用中国”网站（www.creditchina.gov.cn）、中国政府采购网（www.ccgp.gov.cn）列入失信被执行人、重大税收违法案件当事人名单、政府采购严重违法失信行为记录名单；</w:t>
      </w:r>
    </w:p>
    <w:p w14:paraId="5BBD5096">
      <w:pPr>
        <w:spacing w:line="360" w:lineRule="auto"/>
        <w:ind w:firstLine="480" w:firstLineChars="20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cs="宋体"/>
          <w:bCs/>
          <w:color w:val="auto"/>
          <w:sz w:val="24"/>
          <w:szCs w:val="24"/>
          <w:highlight w:val="none"/>
        </w:rPr>
        <w:t>落实政府采购政策需满足的资格要求：</w:t>
      </w:r>
      <w:r>
        <w:rPr>
          <w:rFonts w:hint="eastAsia" w:ascii="宋体" w:hAnsi="宋体" w:cs="宋体"/>
          <w:bCs/>
          <w:color w:val="auto"/>
          <w:sz w:val="24"/>
          <w:szCs w:val="24"/>
          <w:highlight w:val="none"/>
          <w:lang w:val="en-US" w:eastAsia="zh-CN"/>
        </w:rPr>
        <w:t>供应商为中型企业/小型企业/微型企业（监狱企业/残疾人福利性单位视同小微企业）</w:t>
      </w:r>
      <w:r>
        <w:rPr>
          <w:rFonts w:hint="eastAsia" w:ascii="宋体" w:hAnsi="宋体" w:cs="宋体"/>
          <w:bCs/>
          <w:color w:val="auto"/>
          <w:sz w:val="24"/>
          <w:szCs w:val="24"/>
          <w:highlight w:val="none"/>
        </w:rPr>
        <w:t>；</w:t>
      </w:r>
    </w:p>
    <w:p w14:paraId="2D9CBCB4">
      <w:pPr>
        <w:spacing w:line="360" w:lineRule="auto"/>
        <w:ind w:firstLine="480" w:firstLineChars="20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宋体" w:hAnsi="宋体" w:cs="宋体"/>
          <w:bCs/>
          <w:color w:val="auto"/>
          <w:sz w:val="24"/>
          <w:szCs w:val="24"/>
          <w:highlight w:val="none"/>
        </w:rPr>
        <w:t>本项目的特定资格要求：</w:t>
      </w:r>
    </w:p>
    <w:p w14:paraId="482F4BAF">
      <w:pPr>
        <w:spacing w:line="360" w:lineRule="auto"/>
        <w:ind w:firstLine="480" w:firstLineChars="200"/>
        <w:jc w:val="both"/>
        <w:rPr>
          <w:rFonts w:hint="eastAsia" w:ascii="宋体" w:hAnsi="宋体" w:cs="宋体"/>
          <w:bCs/>
          <w:color w:val="auto"/>
          <w:sz w:val="24"/>
          <w:szCs w:val="24"/>
          <w:highlight w:val="none"/>
        </w:rPr>
      </w:pPr>
      <w:r>
        <w:rPr>
          <w:rFonts w:hint="eastAsia" w:ascii="宋体" w:hAnsi="宋体" w:cs="宋体"/>
          <w:bCs/>
          <w:color w:val="auto"/>
          <w:sz w:val="24"/>
          <w:szCs w:val="24"/>
          <w:highlight w:val="none"/>
        </w:rPr>
        <w:t>（1）投标供应商应在中华人民共和国境内合法注册；</w:t>
      </w:r>
    </w:p>
    <w:p w14:paraId="79640FF5">
      <w:pPr>
        <w:spacing w:line="360" w:lineRule="auto"/>
        <w:ind w:firstLine="480" w:firstLineChars="20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（2）被授权委托人为投标供应商在职员工</w:t>
      </w:r>
      <w:r>
        <w:rPr>
          <w:rFonts w:hint="eastAsia" w:ascii="宋体" w:hAnsi="宋体" w:cs="宋体"/>
          <w:bCs/>
          <w:color w:val="auto"/>
          <w:sz w:val="24"/>
          <w:szCs w:val="24"/>
          <w:highlight w:val="none"/>
          <w:lang w:eastAsia="zh-CN"/>
        </w:rPr>
        <w:t>。</w:t>
      </w:r>
    </w:p>
    <w:p w14:paraId="51F92ACD">
      <w:pPr>
        <w:keepNext w:val="0"/>
        <w:keepLines w:val="0"/>
        <w:pageBreakBefore w:val="0"/>
        <w:widowControl/>
        <w:spacing w:line="360" w:lineRule="auto"/>
        <w:ind w:firstLine="480"/>
        <w:jc w:val="both"/>
        <w:outlineLvl w:val="9"/>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本项目</w:t>
      </w:r>
      <w:r>
        <w:rPr>
          <w:rFonts w:hint="eastAsia" w:ascii="宋体" w:hAnsi="宋体"/>
          <w:b/>
          <w:bCs/>
          <w:color w:val="auto"/>
          <w:sz w:val="24"/>
          <w:szCs w:val="24"/>
          <w:highlight w:val="none"/>
          <w:u w:val="single"/>
        </w:rPr>
        <w:t>不接受</w:t>
      </w:r>
      <w:r>
        <w:rPr>
          <w:rFonts w:hint="eastAsia" w:ascii="宋体" w:hAnsi="宋体"/>
          <w:color w:val="auto"/>
          <w:sz w:val="24"/>
          <w:szCs w:val="24"/>
          <w:highlight w:val="none"/>
        </w:rPr>
        <w:t>联合体投标。</w:t>
      </w:r>
    </w:p>
    <w:p w14:paraId="00F26E87">
      <w:pPr>
        <w:keepNext w:val="0"/>
        <w:keepLines w:val="0"/>
        <w:pageBreakBefore w:val="0"/>
        <w:spacing w:line="360" w:lineRule="auto"/>
        <w:ind w:firstLine="480"/>
        <w:jc w:val="both"/>
        <w:outlineLvl w:val="1"/>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（三）供应商主体信息库注册</w:t>
      </w:r>
    </w:p>
    <w:p w14:paraId="001485ED">
      <w:pPr>
        <w:keepNext w:val="0"/>
        <w:keepLines w:val="0"/>
        <w:pageBreakBefore w:val="0"/>
        <w:spacing w:line="360" w:lineRule="auto"/>
        <w:ind w:firstLine="480"/>
        <w:jc w:val="both"/>
        <w:outlineLvl w:val="9"/>
        <w:rPr>
          <w:rFonts w:hint="eastAsia" w:ascii="宋体" w:hAnsi="宋体"/>
          <w:bCs/>
          <w:color w:val="auto"/>
          <w:sz w:val="24"/>
          <w:szCs w:val="24"/>
          <w:highlight w:val="none"/>
        </w:rPr>
      </w:pPr>
      <w:r>
        <w:rPr>
          <w:rFonts w:hint="eastAsia" w:ascii="宋体" w:hAnsi="宋体"/>
          <w:bCs/>
          <w:color w:val="auto"/>
          <w:sz w:val="24"/>
          <w:szCs w:val="24"/>
          <w:highlight w:val="none"/>
        </w:rPr>
        <w:t>1.请有意参加本项目采购活动的供应商按以下流程进行操作：</w:t>
      </w:r>
    </w:p>
    <w:p w14:paraId="0DE021BF">
      <w:pPr>
        <w:keepNext w:val="0"/>
        <w:keepLines w:val="0"/>
        <w:pageBreakBefore w:val="0"/>
        <w:spacing w:line="360" w:lineRule="auto"/>
        <w:ind w:firstLine="480"/>
        <w:jc w:val="both"/>
        <w:outlineLvl w:val="9"/>
        <w:rPr>
          <w:rFonts w:hint="eastAsia" w:ascii="宋体" w:hAnsi="宋体"/>
          <w:bCs/>
          <w:color w:val="auto"/>
          <w:sz w:val="24"/>
          <w:szCs w:val="24"/>
          <w:highlight w:val="none"/>
        </w:rPr>
      </w:pPr>
      <w:r>
        <w:rPr>
          <w:rFonts w:hint="eastAsia" w:ascii="宋体" w:hAnsi="宋体"/>
          <w:bCs/>
          <w:color w:val="auto"/>
          <w:sz w:val="24"/>
          <w:szCs w:val="24"/>
          <w:highlight w:val="none"/>
        </w:rPr>
        <w:t>（1）点击“江苏省政府采购（苏采云）平台”（以下简称“苏采云”）进行账号注册，注册完成后需在系统中填写资质信息并提交审核。也可以直接通过http://jszfcg.jsczt.cn/进入注册界面。</w:t>
      </w:r>
    </w:p>
    <w:p w14:paraId="37142243">
      <w:pPr>
        <w:keepNext w:val="0"/>
        <w:keepLines w:val="0"/>
        <w:pageBreakBefore w:val="0"/>
        <w:spacing w:line="360" w:lineRule="auto"/>
        <w:ind w:firstLine="480"/>
        <w:jc w:val="left"/>
        <w:outlineLvl w:val="9"/>
        <w:rPr>
          <w:rFonts w:hint="eastAsia" w:ascii="宋体" w:hAnsi="宋体"/>
          <w:bCs/>
          <w:color w:val="auto"/>
          <w:sz w:val="24"/>
          <w:szCs w:val="24"/>
          <w:highlight w:val="none"/>
        </w:rPr>
      </w:pPr>
      <w:r>
        <w:rPr>
          <w:rFonts w:hint="eastAsia" w:ascii="宋体" w:hAnsi="宋体"/>
          <w:bCs/>
          <w:color w:val="auto"/>
          <w:sz w:val="24"/>
          <w:szCs w:val="24"/>
          <w:highlight w:val="none"/>
        </w:rPr>
        <w:t>（2）办理“意源”CA数字证书和“方正”电子签章（办理地址：无锡市滨湖区观山路199号12号楼二楼9号、10号窗口），办理指南链接：http://jsxcmm.com/help/help.html。</w:t>
      </w:r>
    </w:p>
    <w:p w14:paraId="5C4FD424">
      <w:pPr>
        <w:keepNext w:val="0"/>
        <w:keepLines w:val="0"/>
        <w:pageBreakBefore w:val="0"/>
        <w:spacing w:line="360" w:lineRule="auto"/>
        <w:ind w:firstLine="480"/>
        <w:jc w:val="both"/>
        <w:outlineLvl w:val="9"/>
        <w:rPr>
          <w:rFonts w:hint="eastAsia" w:ascii="宋体" w:hAnsi="宋体"/>
          <w:bCs/>
          <w:color w:val="auto"/>
          <w:sz w:val="24"/>
          <w:szCs w:val="24"/>
          <w:highlight w:val="none"/>
        </w:rPr>
      </w:pPr>
      <w:r>
        <w:rPr>
          <w:rFonts w:hint="eastAsia" w:ascii="宋体" w:hAnsi="宋体"/>
          <w:bCs/>
          <w:color w:val="auto"/>
          <w:sz w:val="24"/>
          <w:szCs w:val="24"/>
          <w:highlight w:val="none"/>
        </w:rPr>
        <w:t>（3）CA驱动下载：</w:t>
      </w:r>
    </w:p>
    <w:p w14:paraId="0231CE5E">
      <w:pPr>
        <w:keepNext w:val="0"/>
        <w:keepLines w:val="0"/>
        <w:pageBreakBefore w:val="0"/>
        <w:spacing w:line="360" w:lineRule="auto"/>
        <w:ind w:firstLine="480"/>
        <w:jc w:val="both"/>
        <w:outlineLvl w:val="9"/>
        <w:rPr>
          <w:rFonts w:hint="eastAsia" w:ascii="宋体" w:hAnsi="宋体"/>
          <w:bCs/>
          <w:color w:val="auto"/>
          <w:sz w:val="24"/>
          <w:szCs w:val="24"/>
          <w:highlight w:val="none"/>
        </w:rPr>
      </w:pPr>
      <w:r>
        <w:rPr>
          <w:rFonts w:hint="eastAsia" w:ascii="宋体" w:hAnsi="宋体"/>
          <w:bCs/>
          <w:color w:val="auto"/>
          <w:sz w:val="24"/>
          <w:szCs w:val="24"/>
          <w:highlight w:val="none"/>
        </w:rPr>
        <w:t>在“江苏省政府采购（苏采云）平台”</w:t>
      </w:r>
      <w:r>
        <w:rPr>
          <w:rFonts w:hint="eastAsia" w:ascii="宋体" w:hAnsi="宋体"/>
          <w:bCs/>
          <w:color w:val="auto"/>
          <w:sz w:val="24"/>
          <w:szCs w:val="24"/>
          <w:highlight w:val="none"/>
          <w:lang w:eastAsia="zh-CN"/>
        </w:rPr>
        <w:t>账号登录</w:t>
      </w:r>
      <w:r>
        <w:rPr>
          <w:rFonts w:hint="eastAsia" w:ascii="宋体" w:hAnsi="宋体"/>
          <w:bCs/>
          <w:color w:val="auto"/>
          <w:sz w:val="24"/>
          <w:szCs w:val="24"/>
          <w:highlight w:val="none"/>
        </w:rPr>
        <w:t>页面，点击“驱动下载”链接中的“政务CA、方正签章控件驱动安装包及安装说明”可以直接下载驱动安装包，安装包中附有驱动安装手册。</w:t>
      </w:r>
    </w:p>
    <w:p w14:paraId="60D52E77">
      <w:pPr>
        <w:keepNext w:val="0"/>
        <w:keepLines w:val="0"/>
        <w:pageBreakBefore w:val="0"/>
        <w:spacing w:line="360" w:lineRule="auto"/>
        <w:ind w:firstLine="480"/>
        <w:jc w:val="both"/>
        <w:outlineLvl w:val="9"/>
        <w:rPr>
          <w:rFonts w:hint="eastAsia" w:ascii="宋体" w:hAnsi="宋体"/>
          <w:bCs/>
          <w:color w:val="auto"/>
          <w:sz w:val="24"/>
          <w:szCs w:val="24"/>
          <w:highlight w:val="none"/>
        </w:rPr>
      </w:pPr>
      <w:r>
        <w:rPr>
          <w:rFonts w:hint="eastAsia" w:ascii="宋体" w:hAnsi="宋体"/>
          <w:bCs/>
          <w:color w:val="auto"/>
          <w:sz w:val="24"/>
          <w:szCs w:val="24"/>
          <w:highlight w:val="none"/>
        </w:rPr>
        <w:t>技术服务电话：0510-81827781（服务时间：工作日 9:00-11:30</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13:00-17:00）</w:t>
      </w:r>
    </w:p>
    <w:p w14:paraId="5E65AE75">
      <w:pPr>
        <w:keepNext w:val="0"/>
        <w:keepLines w:val="0"/>
        <w:pageBreakBefore w:val="0"/>
        <w:spacing w:line="360" w:lineRule="auto"/>
        <w:ind w:firstLine="480"/>
        <w:jc w:val="both"/>
        <w:outlineLvl w:val="9"/>
        <w:rPr>
          <w:rFonts w:hint="eastAsia" w:ascii="宋体" w:hAnsi="宋体"/>
          <w:bCs/>
          <w:color w:val="auto"/>
          <w:sz w:val="24"/>
          <w:szCs w:val="24"/>
          <w:highlight w:val="none"/>
        </w:rPr>
      </w:pPr>
      <w:r>
        <w:rPr>
          <w:rFonts w:hint="eastAsia" w:ascii="宋体" w:hAnsi="宋体"/>
          <w:bCs/>
          <w:color w:val="auto"/>
          <w:sz w:val="24"/>
          <w:szCs w:val="24"/>
          <w:highlight w:val="none"/>
        </w:rPr>
        <w:t>2.完成苏采云注册的供应商方可在苏采云中进行CA绑定。登录“江苏省政府采购（苏采云）平台”，插入CA后，点击【账号设置】——【绑定CA】。</w:t>
      </w:r>
    </w:p>
    <w:p w14:paraId="585C68D7">
      <w:pPr>
        <w:keepNext w:val="0"/>
        <w:keepLines w:val="0"/>
        <w:pageBreakBefore w:val="0"/>
        <w:spacing w:line="360" w:lineRule="auto"/>
        <w:ind w:firstLine="480"/>
        <w:jc w:val="both"/>
        <w:outlineLvl w:val="9"/>
        <w:rPr>
          <w:rFonts w:hint="eastAsia" w:ascii="宋体" w:hAnsi="宋体"/>
          <w:bCs/>
          <w:color w:val="auto"/>
          <w:sz w:val="24"/>
          <w:szCs w:val="24"/>
          <w:highlight w:val="none"/>
        </w:rPr>
      </w:pPr>
      <w:r>
        <w:rPr>
          <w:rFonts w:hint="eastAsia" w:ascii="宋体" w:hAnsi="宋体"/>
          <w:bCs/>
          <w:color w:val="auto"/>
          <w:sz w:val="24"/>
          <w:szCs w:val="24"/>
          <w:highlight w:val="none"/>
        </w:rPr>
        <w:t>3.供应商应按上述要求提供相关材料及注册登记信息，所提供的材料应均是真实的、准确的，若有违背，供应商自行承担由此而产生的一切后果。</w:t>
      </w:r>
    </w:p>
    <w:p w14:paraId="4F904158">
      <w:pPr>
        <w:keepNext w:val="0"/>
        <w:keepLines w:val="0"/>
        <w:pageBreakBefore w:val="0"/>
        <w:spacing w:line="360" w:lineRule="auto"/>
        <w:ind w:firstLine="480"/>
        <w:jc w:val="both"/>
        <w:outlineLvl w:val="9"/>
        <w:rPr>
          <w:rFonts w:hint="eastAsia" w:ascii="宋体" w:hAnsi="宋体"/>
          <w:bCs/>
          <w:color w:val="auto"/>
          <w:sz w:val="24"/>
          <w:szCs w:val="24"/>
          <w:highlight w:val="none"/>
        </w:rPr>
      </w:pPr>
      <w:r>
        <w:rPr>
          <w:rFonts w:hint="eastAsia" w:ascii="宋体" w:hAnsi="宋体"/>
          <w:bCs/>
          <w:color w:val="auto"/>
          <w:sz w:val="24"/>
          <w:szCs w:val="24"/>
          <w:highlight w:val="none"/>
        </w:rPr>
        <w:t>4.如供应商未按上述要求操作，由此所产生的损失及风险由供应商自行承担。具体操作步骤详见《“苏采云”系统供应商操作手册》（以下简称《操作手册》），下载地址：</w:t>
      </w:r>
      <w:r>
        <w:rPr>
          <w:rFonts w:hint="eastAsia" w:ascii="宋体" w:hAnsi="宋体"/>
          <w:bCs/>
          <w:color w:val="auto"/>
          <w:sz w:val="24"/>
          <w:szCs w:val="24"/>
          <w:highlight w:val="none"/>
          <w:lang w:val="en-US" w:eastAsia="zh-CN"/>
        </w:rPr>
        <w:t>江苏省</w:t>
      </w:r>
      <w:r>
        <w:rPr>
          <w:rFonts w:hint="eastAsia" w:ascii="宋体" w:hAnsi="宋体"/>
          <w:bCs/>
          <w:color w:val="auto"/>
          <w:sz w:val="24"/>
          <w:szCs w:val="24"/>
          <w:highlight w:val="none"/>
        </w:rPr>
        <w:t>政府采购网——资料下载——苏采云——</w:t>
      </w:r>
      <w:r>
        <w:rPr>
          <w:rFonts w:hint="eastAsia" w:ascii="宋体" w:hAnsi="宋体"/>
          <w:bCs/>
          <w:color w:val="auto"/>
          <w:sz w:val="24"/>
          <w:szCs w:val="24"/>
          <w:highlight w:val="none"/>
          <w:u w:val="none"/>
        </w:rPr>
        <w:t>“苏采云”系统供应商操作手册</w:t>
      </w:r>
      <w:r>
        <w:rPr>
          <w:rFonts w:hint="eastAsia" w:ascii="宋体" w:hAnsi="宋体"/>
          <w:bCs/>
          <w:color w:val="auto"/>
          <w:sz w:val="24"/>
          <w:szCs w:val="24"/>
          <w:highlight w:val="none"/>
        </w:rPr>
        <w:t>。</w:t>
      </w:r>
    </w:p>
    <w:p w14:paraId="60F93291">
      <w:pPr>
        <w:keepNext w:val="0"/>
        <w:keepLines w:val="0"/>
        <w:pageBreakBefore w:val="0"/>
        <w:spacing w:line="360" w:lineRule="auto"/>
        <w:ind w:firstLine="480"/>
        <w:jc w:val="both"/>
        <w:outlineLvl w:val="9"/>
        <w:rPr>
          <w:rFonts w:hint="eastAsia" w:ascii="宋体" w:hAnsi="宋体"/>
          <w:bCs/>
          <w:color w:val="auto"/>
          <w:sz w:val="24"/>
          <w:szCs w:val="24"/>
          <w:highlight w:val="none"/>
        </w:rPr>
      </w:pPr>
      <w:r>
        <w:rPr>
          <w:rFonts w:hint="eastAsia" w:ascii="宋体" w:hAnsi="宋体"/>
          <w:bCs/>
          <w:color w:val="auto"/>
          <w:sz w:val="24"/>
          <w:szCs w:val="24"/>
          <w:highlight w:val="none"/>
        </w:rPr>
        <w:t>技术支持QQ：田女士：3071474382 ；王先生：897651173。</w:t>
      </w:r>
    </w:p>
    <w:p w14:paraId="4BE6B4A0">
      <w:pPr>
        <w:keepNext w:val="0"/>
        <w:keepLines w:val="0"/>
        <w:pageBreakBefore w:val="0"/>
        <w:spacing w:line="360" w:lineRule="auto"/>
        <w:ind w:firstLine="480"/>
        <w:jc w:val="both"/>
        <w:outlineLvl w:val="9"/>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5.</w:t>
      </w:r>
      <w:r>
        <w:rPr>
          <w:rFonts w:hint="eastAsia" w:ascii="宋体" w:hAnsi="宋体" w:eastAsia="宋体" w:cs="Times New Roman"/>
          <w:bCs/>
          <w:color w:val="auto"/>
          <w:sz w:val="24"/>
          <w:szCs w:val="24"/>
          <w:highlight w:val="none"/>
        </w:rPr>
        <w:t>完成注册的供应商方可绑定CA，并使用CA登录苏采云平台，参与项目，上传投标文件，进行投标。</w:t>
      </w:r>
    </w:p>
    <w:p w14:paraId="2052B658">
      <w:pPr>
        <w:keepNext w:val="0"/>
        <w:keepLines w:val="0"/>
        <w:pageBreakBefore w:val="0"/>
        <w:spacing w:line="360" w:lineRule="auto"/>
        <w:ind w:firstLine="480"/>
        <w:jc w:val="both"/>
        <w:outlineLvl w:val="9"/>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6.</w:t>
      </w:r>
      <w:r>
        <w:rPr>
          <w:rFonts w:hint="eastAsia" w:ascii="宋体" w:hAnsi="宋体" w:eastAsia="宋体" w:cs="Times New Roman"/>
          <w:bCs/>
          <w:color w:val="auto"/>
          <w:sz w:val="24"/>
          <w:szCs w:val="24"/>
          <w:highlight w:val="none"/>
        </w:rPr>
        <w:t>如供应商未按上述要求操作，由此所产生的损失及风险由供应商自行承担。</w:t>
      </w:r>
    </w:p>
    <w:p w14:paraId="1143D81E">
      <w:pPr>
        <w:keepNext w:val="0"/>
        <w:keepLines w:val="0"/>
        <w:pageBreakBefore w:val="0"/>
        <w:spacing w:line="360" w:lineRule="auto"/>
        <w:ind w:firstLine="480"/>
        <w:jc w:val="both"/>
        <w:outlineLvl w:val="1"/>
        <w:rPr>
          <w:rFonts w:hint="eastAsia" w:ascii="黑体" w:hAnsi="黑体" w:eastAsia="黑体"/>
          <w:bCs/>
          <w:color w:val="auto"/>
          <w:sz w:val="24"/>
          <w:szCs w:val="24"/>
          <w:highlight w:val="none"/>
          <w:lang w:eastAsia="zh-CN"/>
        </w:rPr>
      </w:pPr>
      <w:r>
        <w:rPr>
          <w:rFonts w:hint="eastAsia" w:ascii="黑体" w:hAnsi="黑体" w:eastAsia="黑体"/>
          <w:bCs/>
          <w:color w:val="auto"/>
          <w:sz w:val="24"/>
          <w:szCs w:val="24"/>
          <w:highlight w:val="none"/>
        </w:rPr>
        <w:t>（四）完成项目报名，获取</w:t>
      </w:r>
      <w:r>
        <w:rPr>
          <w:rFonts w:hint="eastAsia" w:ascii="黑体" w:hAnsi="黑体" w:eastAsia="黑体"/>
          <w:bCs/>
          <w:color w:val="auto"/>
          <w:sz w:val="24"/>
          <w:szCs w:val="24"/>
          <w:highlight w:val="none"/>
          <w:lang w:eastAsia="zh-CN"/>
        </w:rPr>
        <w:t>招标文件</w:t>
      </w:r>
    </w:p>
    <w:p w14:paraId="7F5D74A9">
      <w:pPr>
        <w:keepNext w:val="0"/>
        <w:keepLines w:val="0"/>
        <w:pageBreakBefore w:val="0"/>
        <w:spacing w:line="360" w:lineRule="auto"/>
        <w:ind w:firstLine="480"/>
        <w:jc w:val="both"/>
        <w:outlineLvl w:val="9"/>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潜在投标供应商可在项目招标公告附件中查看公开招标文件，如确定投标，必须在</w:t>
      </w:r>
      <w:r>
        <w:rPr>
          <w:rFonts w:hint="eastAsia" w:ascii="宋体" w:hAnsi="宋体"/>
          <w:bCs/>
          <w:color w:val="auto"/>
          <w:sz w:val="24"/>
          <w:szCs w:val="24"/>
          <w:highlight w:val="none"/>
          <w:lang w:eastAsia="zh-CN"/>
        </w:rPr>
        <w:t>苏采云</w:t>
      </w:r>
      <w:r>
        <w:rPr>
          <w:rFonts w:hint="eastAsia" w:ascii="宋体" w:hAnsi="宋体"/>
          <w:bCs/>
          <w:color w:val="auto"/>
          <w:sz w:val="24"/>
          <w:szCs w:val="24"/>
          <w:highlight w:val="none"/>
        </w:rPr>
        <w:t>平台（</w:t>
      </w:r>
      <w:r>
        <w:rPr>
          <w:rFonts w:hint="eastAsia" w:ascii="宋体" w:hAnsi="宋体"/>
          <w:bCs/>
          <w:color w:val="auto"/>
          <w:sz w:val="24"/>
          <w:szCs w:val="24"/>
          <w:highlight w:val="none"/>
          <w:lang w:eastAsia="zh-CN"/>
        </w:rPr>
        <w:t>http://jszfcg.jscz.gov.cn/jszc/login</w:t>
      </w:r>
      <w:r>
        <w:rPr>
          <w:rFonts w:hint="eastAsia" w:ascii="宋体" w:hAnsi="宋体"/>
          <w:bCs/>
          <w:color w:val="auto"/>
          <w:sz w:val="24"/>
          <w:szCs w:val="24"/>
          <w:highlight w:val="none"/>
        </w:rPr>
        <w:t>）中免费下载公开招标文件（</w:t>
      </w:r>
      <w:r>
        <w:rPr>
          <w:rFonts w:hint="eastAsia" w:ascii="宋体" w:hAnsi="宋体"/>
          <w:color w:val="auto"/>
          <w:sz w:val="24"/>
          <w:highlight w:val="none"/>
        </w:rPr>
        <w:t>江苏省政府采购（苏采云）平台</w:t>
      </w:r>
      <w:r>
        <w:rPr>
          <w:rFonts w:hint="eastAsia" w:ascii="宋体" w:hAnsi="宋体"/>
          <w:color w:val="auto"/>
          <w:sz w:val="24"/>
          <w:highlight w:val="none"/>
          <w:lang w:eastAsia="zh-CN"/>
        </w:rPr>
        <w:t>”</w:t>
      </w:r>
      <w:r>
        <w:rPr>
          <w:rFonts w:hint="eastAsia" w:ascii="宋体" w:hAnsi="宋体"/>
          <w:color w:val="auto"/>
          <w:sz w:val="24"/>
          <w:highlight w:val="none"/>
        </w:rPr>
        <w:t>或“政府采购客户端（苏采云）”</w:t>
      </w:r>
      <w:r>
        <w:rPr>
          <w:rFonts w:ascii="宋体" w:hAnsi="宋体"/>
          <w:color w:val="auto"/>
          <w:sz w:val="24"/>
          <w:highlight w:val="none"/>
        </w:rPr>
        <w:t>中免费下载文件（“项目参与”——找到需要获取</w:t>
      </w:r>
      <w:r>
        <w:rPr>
          <w:rFonts w:hint="eastAsia" w:ascii="宋体" w:hAnsi="宋体"/>
          <w:color w:val="auto"/>
          <w:sz w:val="24"/>
          <w:highlight w:val="none"/>
          <w:lang w:eastAsia="zh-CN"/>
        </w:rPr>
        <w:t>招标文件</w:t>
      </w:r>
      <w:r>
        <w:rPr>
          <w:rFonts w:ascii="宋体" w:hAnsi="宋体"/>
          <w:color w:val="auto"/>
          <w:sz w:val="24"/>
          <w:highlight w:val="none"/>
        </w:rPr>
        <w:t>的项目，点击“我要参与”——“参与投标”</w:t>
      </w:r>
      <w:r>
        <w:rPr>
          <w:rFonts w:hint="eastAsia" w:ascii="宋体" w:hAnsi="宋体"/>
          <w:color w:val="auto"/>
          <w:sz w:val="24"/>
          <w:highlight w:val="none"/>
        </w:rPr>
        <w:t>——“</w:t>
      </w:r>
      <w:r>
        <w:rPr>
          <w:rFonts w:ascii="宋体" w:hAnsi="宋体"/>
          <w:color w:val="auto"/>
          <w:sz w:val="24"/>
          <w:highlight w:val="none"/>
        </w:rPr>
        <w:t>下载文件</w:t>
      </w:r>
      <w:r>
        <w:rPr>
          <w:rFonts w:hint="eastAsia" w:ascii="宋体" w:hAnsi="宋体"/>
          <w:color w:val="auto"/>
          <w:sz w:val="24"/>
          <w:highlight w:val="none"/>
        </w:rPr>
        <w:t>”</w:t>
      </w:r>
      <w:r>
        <w:rPr>
          <w:rFonts w:ascii="宋体" w:hAnsi="宋体"/>
          <w:color w:val="auto"/>
          <w:sz w:val="24"/>
          <w:highlight w:val="none"/>
        </w:rPr>
        <w:t>）</w:t>
      </w:r>
      <w:r>
        <w:rPr>
          <w:rFonts w:hint="eastAsia" w:ascii="宋体" w:hAnsi="宋体"/>
          <w:bCs/>
          <w:color w:val="auto"/>
          <w:sz w:val="24"/>
          <w:szCs w:val="24"/>
          <w:highlight w:val="none"/>
        </w:rPr>
        <w:t>），完成项目报名，将苏采云平台中下载的</w:t>
      </w:r>
      <w:r>
        <w:rPr>
          <w:rFonts w:hint="eastAsia" w:ascii="宋体" w:hAnsi="宋体"/>
          <w:bCs/>
          <w:color w:val="auto"/>
          <w:sz w:val="24"/>
          <w:szCs w:val="24"/>
          <w:highlight w:val="none"/>
          <w:lang w:eastAsia="zh-CN"/>
        </w:rPr>
        <w:t>招标文件</w:t>
      </w:r>
      <w:r>
        <w:rPr>
          <w:rFonts w:hint="eastAsia" w:ascii="宋体" w:hAnsi="宋体"/>
          <w:bCs/>
          <w:color w:val="auto"/>
          <w:sz w:val="24"/>
          <w:szCs w:val="24"/>
          <w:highlight w:val="none"/>
        </w:rPr>
        <w:t>（后缀名为“.kedt”）导入到“政府采购客户端”，离线按要求编制并加密</w:t>
      </w:r>
      <w:r>
        <w:rPr>
          <w:rFonts w:hint="eastAsia" w:ascii="宋体" w:hAnsi="宋体"/>
          <w:bCs/>
          <w:color w:val="auto"/>
          <w:sz w:val="24"/>
          <w:szCs w:val="24"/>
          <w:highlight w:val="none"/>
          <w:lang w:eastAsia="zh-CN"/>
        </w:rPr>
        <w:t>投标文件</w:t>
      </w:r>
      <w:r>
        <w:rPr>
          <w:rFonts w:hint="eastAsia" w:ascii="宋体" w:hAnsi="宋体"/>
          <w:bCs/>
          <w:color w:val="auto"/>
          <w:sz w:val="24"/>
          <w:szCs w:val="24"/>
          <w:highlight w:val="none"/>
        </w:rPr>
        <w:t>（使用“CA数字证书”），导出加密的</w:t>
      </w:r>
      <w:r>
        <w:rPr>
          <w:rFonts w:hint="eastAsia" w:ascii="宋体" w:hAnsi="宋体"/>
          <w:bCs/>
          <w:color w:val="auto"/>
          <w:sz w:val="24"/>
          <w:szCs w:val="24"/>
          <w:highlight w:val="none"/>
          <w:lang w:eastAsia="zh-CN"/>
        </w:rPr>
        <w:t>投标文件</w:t>
      </w:r>
      <w:r>
        <w:rPr>
          <w:rFonts w:hint="eastAsia" w:ascii="宋体" w:hAnsi="宋体"/>
          <w:bCs/>
          <w:color w:val="auto"/>
          <w:sz w:val="24"/>
          <w:szCs w:val="24"/>
          <w:highlight w:val="none"/>
        </w:rPr>
        <w:t>（后缀名为zip，不得超过150M）并在苏采云平台上传该加密的</w:t>
      </w:r>
      <w:r>
        <w:rPr>
          <w:rFonts w:hint="eastAsia" w:ascii="宋体" w:hAnsi="宋体"/>
          <w:bCs/>
          <w:color w:val="auto"/>
          <w:sz w:val="24"/>
          <w:szCs w:val="24"/>
          <w:highlight w:val="none"/>
          <w:lang w:eastAsia="zh-CN"/>
        </w:rPr>
        <w:t>投标文件</w:t>
      </w:r>
      <w:r>
        <w:rPr>
          <w:rFonts w:hint="eastAsia" w:ascii="宋体" w:hAnsi="宋体"/>
          <w:bCs/>
          <w:color w:val="auto"/>
          <w:sz w:val="24"/>
          <w:szCs w:val="24"/>
          <w:highlight w:val="none"/>
        </w:rPr>
        <w:t>，对</w:t>
      </w:r>
      <w:r>
        <w:rPr>
          <w:rFonts w:hint="eastAsia" w:ascii="宋体" w:hAnsi="宋体"/>
          <w:bCs/>
          <w:color w:val="auto"/>
          <w:sz w:val="24"/>
          <w:szCs w:val="24"/>
          <w:highlight w:val="none"/>
          <w:lang w:eastAsia="zh-CN"/>
        </w:rPr>
        <w:t>招标文件</w:t>
      </w:r>
      <w:r>
        <w:rPr>
          <w:rFonts w:hint="eastAsia" w:ascii="宋体" w:hAnsi="宋体"/>
          <w:bCs/>
          <w:color w:val="auto"/>
          <w:sz w:val="24"/>
          <w:szCs w:val="24"/>
          <w:highlight w:val="none"/>
        </w:rPr>
        <w:t>各项内容做出实质性响应，否则其</w:t>
      </w:r>
      <w:r>
        <w:rPr>
          <w:rFonts w:hint="eastAsia" w:ascii="宋体" w:hAnsi="宋体"/>
          <w:bCs/>
          <w:color w:val="auto"/>
          <w:sz w:val="24"/>
          <w:szCs w:val="24"/>
          <w:highlight w:val="none"/>
          <w:lang w:eastAsia="zh-CN"/>
        </w:rPr>
        <w:t>投标文件</w:t>
      </w:r>
      <w:r>
        <w:rPr>
          <w:rFonts w:hint="eastAsia" w:ascii="宋体" w:hAnsi="宋体"/>
          <w:bCs/>
          <w:color w:val="auto"/>
          <w:sz w:val="24"/>
          <w:szCs w:val="24"/>
          <w:highlight w:val="none"/>
        </w:rPr>
        <w:t>无效。</w:t>
      </w:r>
    </w:p>
    <w:p w14:paraId="6F72B11B">
      <w:pPr>
        <w:keepNext w:val="0"/>
        <w:keepLines w:val="0"/>
        <w:pageBreakBefore w:val="0"/>
        <w:spacing w:line="360" w:lineRule="auto"/>
        <w:ind w:firstLine="480"/>
        <w:jc w:val="both"/>
        <w:outlineLvl w:val="9"/>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hint="eastAsia" w:ascii="宋体" w:hAnsi="宋体"/>
          <w:bCs/>
          <w:color w:val="auto"/>
          <w:sz w:val="24"/>
          <w:szCs w:val="24"/>
          <w:highlight w:val="none"/>
          <w:lang w:eastAsia="zh-CN"/>
        </w:rPr>
        <w:t>招标文件</w:t>
      </w:r>
      <w:r>
        <w:rPr>
          <w:rFonts w:hint="eastAsia" w:ascii="宋体" w:hAnsi="宋体"/>
          <w:bCs/>
          <w:color w:val="auto"/>
          <w:sz w:val="24"/>
          <w:szCs w:val="24"/>
          <w:highlight w:val="none"/>
        </w:rPr>
        <w:t>（后缀名为“.kedt”）、“苏采云”系统供应商操作手册及政府采购客户端工具也可通过“苏采云”系统</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已参与项目</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报名详情页面内相应链接进行下载。</w:t>
      </w:r>
    </w:p>
    <w:p w14:paraId="18365E9C">
      <w:pPr>
        <w:keepNext w:val="0"/>
        <w:keepLines w:val="0"/>
        <w:pageBreakBefore w:val="0"/>
        <w:spacing w:line="360" w:lineRule="auto"/>
        <w:ind w:firstLine="480"/>
        <w:jc w:val="both"/>
        <w:outlineLvl w:val="9"/>
        <w:rPr>
          <w:rFonts w:ascii="宋体" w:hAnsi="宋体"/>
          <w:bCs/>
          <w:color w:val="auto"/>
          <w:sz w:val="24"/>
          <w:szCs w:val="24"/>
          <w:highlight w:val="none"/>
        </w:rPr>
      </w:pPr>
      <w:r>
        <w:rPr>
          <w:rFonts w:hint="eastAsia" w:ascii="宋体" w:hAnsi="宋体"/>
          <w:bCs/>
          <w:color w:val="auto"/>
          <w:sz w:val="24"/>
          <w:szCs w:val="24"/>
          <w:highlight w:val="none"/>
        </w:rPr>
        <w:t>3.政府采购客户端工具及“苏采云”系统供应商操作手册可访问江苏政府采购网-</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办事指南--“资料下载”进行下载《“苏采云”系统供应商操作手册及政府采购客户端工具》</w:t>
      </w:r>
    </w:p>
    <w:p w14:paraId="11061EFF">
      <w:pPr>
        <w:keepNext w:val="0"/>
        <w:keepLines w:val="0"/>
        <w:pageBreakBefore w:val="0"/>
        <w:spacing w:line="360" w:lineRule="auto"/>
        <w:ind w:firstLine="480"/>
        <w:jc w:val="both"/>
        <w:outlineLvl w:val="1"/>
        <w:rPr>
          <w:rFonts w:hint="eastAsia" w:ascii="黑体" w:hAnsi="黑体" w:eastAsia="黑体" w:cs="Times New Roman"/>
          <w:bCs/>
          <w:color w:val="auto"/>
          <w:sz w:val="24"/>
          <w:szCs w:val="24"/>
          <w:highlight w:val="none"/>
        </w:rPr>
      </w:pPr>
      <w:r>
        <w:rPr>
          <w:rFonts w:hint="eastAsia" w:ascii="黑体" w:hAnsi="黑体" w:eastAsia="黑体" w:cs="Times New Roman"/>
          <w:bCs/>
          <w:color w:val="auto"/>
          <w:sz w:val="24"/>
          <w:szCs w:val="24"/>
          <w:highlight w:val="none"/>
        </w:rPr>
        <w:t>（五）公开答疑时间、地点</w:t>
      </w:r>
    </w:p>
    <w:p w14:paraId="40947B21">
      <w:pPr>
        <w:keepNext w:val="0"/>
        <w:keepLines w:val="0"/>
        <w:pageBreakBefore w:val="0"/>
        <w:widowControl/>
        <w:spacing w:line="360" w:lineRule="auto"/>
        <w:ind w:firstLine="480"/>
        <w:jc w:val="both"/>
        <w:outlineLvl w:val="9"/>
        <w:rPr>
          <w:rFonts w:ascii="宋体" w:hAnsi="宋体"/>
          <w:color w:val="auto"/>
          <w:sz w:val="24"/>
          <w:szCs w:val="24"/>
          <w:highlight w:val="none"/>
        </w:rPr>
      </w:pPr>
      <w:r>
        <w:rPr>
          <w:rFonts w:hint="eastAsia" w:ascii="宋体" w:hAnsi="宋体"/>
          <w:bCs/>
          <w:color w:val="auto"/>
          <w:sz w:val="24"/>
          <w:szCs w:val="24"/>
          <w:highlight w:val="none"/>
        </w:rPr>
        <w:t>采购人、</w:t>
      </w:r>
      <w:r>
        <w:rPr>
          <w:rFonts w:hint="eastAsia" w:ascii="宋体" w:hAnsi="宋体"/>
          <w:color w:val="auto"/>
          <w:sz w:val="24"/>
          <w:szCs w:val="24"/>
          <w:highlight w:val="none"/>
          <w:lang w:eastAsia="zh-CN"/>
        </w:rPr>
        <w:t>无锡彰誉技术咨询有限公司</w:t>
      </w:r>
      <w:r>
        <w:rPr>
          <w:rFonts w:hint="eastAsia" w:ascii="宋体" w:hAnsi="宋体"/>
          <w:bCs/>
          <w:color w:val="auto"/>
          <w:sz w:val="24"/>
          <w:szCs w:val="24"/>
          <w:highlight w:val="none"/>
        </w:rPr>
        <w:t>将以电话咨询、传真等方式开展线上答疑服务。截止至</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28</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:00</w:t>
      </w:r>
      <w:r>
        <w:rPr>
          <w:rFonts w:hint="eastAsia" w:ascii="宋体" w:hAnsi="宋体" w:cs="宋体"/>
          <w:color w:val="auto"/>
          <w:sz w:val="24"/>
          <w:szCs w:val="24"/>
          <w:highlight w:val="none"/>
        </w:rPr>
        <w:t>前，</w:t>
      </w:r>
      <w:r>
        <w:rPr>
          <w:rFonts w:hint="eastAsia" w:ascii="宋体" w:hAnsi="宋体"/>
          <w:bCs/>
          <w:color w:val="auto"/>
          <w:sz w:val="24"/>
          <w:szCs w:val="24"/>
          <w:highlight w:val="none"/>
        </w:rPr>
        <w:t>有关单位对于招标文件的相关事项如有疑问可通过上述方式咨询；</w:t>
      </w:r>
      <w:r>
        <w:rPr>
          <w:rFonts w:hint="eastAsia" w:ascii="宋体" w:hAnsi="宋体"/>
          <w:color w:val="auto"/>
          <w:sz w:val="24"/>
          <w:szCs w:val="24"/>
          <w:highlight w:val="none"/>
        </w:rPr>
        <w:t>投标供应商如有需要对招标文件要求澄清的问题，请以书面形式</w:t>
      </w:r>
      <w:r>
        <w:rPr>
          <w:rFonts w:hint="eastAsia" w:ascii="宋体" w:hAnsi="宋体"/>
          <w:b/>
          <w:bCs/>
          <w:color w:val="auto"/>
          <w:sz w:val="24"/>
          <w:szCs w:val="24"/>
          <w:highlight w:val="none"/>
        </w:rPr>
        <w:t>（必须加盖投标供应商公章，也请务必留下联系方式，以便回复）</w:t>
      </w:r>
      <w:r>
        <w:rPr>
          <w:rFonts w:hint="eastAsia" w:ascii="宋体" w:hAnsi="宋体"/>
          <w:color w:val="auto"/>
          <w:sz w:val="24"/>
          <w:szCs w:val="24"/>
          <w:highlight w:val="none"/>
        </w:rPr>
        <w:t>提出</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XXX</w:t>
      </w:r>
      <w:r>
        <w:rPr>
          <w:rFonts w:hint="eastAsia" w:ascii="宋体" w:hAnsi="宋体" w:cs="宋体"/>
          <w:color w:val="auto"/>
          <w:sz w:val="24"/>
          <w:szCs w:val="24"/>
          <w:highlight w:val="none"/>
        </w:rPr>
        <w:t>项目需澄清问题”</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并于答疑</w:t>
      </w:r>
      <w:r>
        <w:rPr>
          <w:rFonts w:hint="eastAsia" w:ascii="宋体" w:hAnsi="宋体" w:cs="宋体"/>
          <w:bCs/>
          <w:color w:val="auto"/>
          <w:sz w:val="24"/>
          <w:szCs w:val="24"/>
          <w:highlight w:val="none"/>
        </w:rPr>
        <w:t>截止时间前</w:t>
      </w:r>
      <w:r>
        <w:rPr>
          <w:rFonts w:hint="eastAsia" w:ascii="宋体" w:hAnsi="宋体" w:cs="宋体"/>
          <w:color w:val="auto"/>
          <w:sz w:val="24"/>
          <w:szCs w:val="24"/>
          <w:highlight w:val="none"/>
        </w:rPr>
        <w:t>传真给项目联</w:t>
      </w:r>
      <w:r>
        <w:rPr>
          <w:rFonts w:hint="eastAsia" w:ascii="宋体" w:hAnsi="宋体"/>
          <w:color w:val="auto"/>
          <w:sz w:val="24"/>
          <w:szCs w:val="24"/>
          <w:highlight w:val="none"/>
        </w:rPr>
        <w:t>系人</w:t>
      </w:r>
      <w:r>
        <w:rPr>
          <w:rFonts w:hint="eastAsia" w:ascii="宋体" w:hAnsi="宋体"/>
          <w:bCs/>
          <w:color w:val="auto"/>
          <w:sz w:val="24"/>
          <w:szCs w:val="24"/>
          <w:highlight w:val="none"/>
        </w:rPr>
        <w:t>。若未在法定时间内提出澄清，由此造成的损失及风险由投标供应商自行承担。</w:t>
      </w:r>
    </w:p>
    <w:p w14:paraId="1B48F7EE">
      <w:pPr>
        <w:keepNext w:val="0"/>
        <w:keepLines w:val="0"/>
        <w:pageBreakBefore w:val="0"/>
        <w:spacing w:line="360" w:lineRule="auto"/>
        <w:ind w:firstLine="480"/>
        <w:jc w:val="both"/>
        <w:outlineLvl w:val="1"/>
        <w:rPr>
          <w:rFonts w:hint="eastAsia" w:ascii="黑体" w:hAnsi="黑体" w:eastAsia="黑体" w:cs="Times New Roman"/>
          <w:bCs/>
          <w:color w:val="auto"/>
          <w:sz w:val="24"/>
          <w:szCs w:val="24"/>
          <w:highlight w:val="none"/>
        </w:rPr>
      </w:pPr>
      <w:r>
        <w:rPr>
          <w:rFonts w:hint="eastAsia" w:ascii="黑体" w:hAnsi="黑体" w:eastAsia="黑体" w:cs="Times New Roman"/>
          <w:bCs/>
          <w:color w:val="auto"/>
          <w:sz w:val="24"/>
          <w:szCs w:val="24"/>
          <w:highlight w:val="none"/>
        </w:rPr>
        <w:t>（六）网上投标及开标、定标时间、地点</w:t>
      </w:r>
    </w:p>
    <w:p w14:paraId="3DCB8C89">
      <w:pPr>
        <w:keepNext w:val="0"/>
        <w:keepLines w:val="0"/>
        <w:pageBreakBefore w:val="0"/>
        <w:widowControl/>
        <w:spacing w:line="360" w:lineRule="auto"/>
        <w:ind w:firstLine="480"/>
        <w:jc w:val="both"/>
        <w:outlineLvl w:val="9"/>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p>
    <w:p w14:paraId="0DA4F676">
      <w:pPr>
        <w:keepNext w:val="0"/>
        <w:keepLines w:val="0"/>
        <w:pageBreakBefore w:val="0"/>
        <w:widowControl/>
        <w:spacing w:line="360" w:lineRule="auto"/>
        <w:ind w:firstLine="480"/>
        <w:jc w:val="both"/>
        <w:outlineLvl w:val="9"/>
        <w:rPr>
          <w:rFonts w:ascii="宋体" w:hAnsi="宋体"/>
          <w:color w:val="auto"/>
          <w:sz w:val="24"/>
          <w:szCs w:val="24"/>
          <w:highlight w:val="none"/>
        </w:rPr>
      </w:pPr>
      <w:r>
        <w:rPr>
          <w:rFonts w:hint="eastAsia" w:ascii="宋体" w:hAnsi="宋体" w:cs="宋体"/>
          <w:color w:val="auto"/>
          <w:sz w:val="24"/>
          <w:szCs w:val="24"/>
          <w:highlight w:val="none"/>
        </w:rPr>
        <w:t>网上投标截止时间：</w:t>
      </w:r>
      <w:r>
        <w:rPr>
          <w:rFonts w:hint="eastAsia" w:ascii="宋体" w:hAnsi="宋体" w:cs="宋体"/>
          <w:color w:val="auto"/>
          <w:sz w:val="24"/>
          <w:szCs w:val="24"/>
          <w:highlight w:val="none"/>
          <w:lang w:eastAsia="zh-CN"/>
        </w:rPr>
        <w:t>202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0</w:t>
      </w:r>
      <w:r>
        <w:rPr>
          <w:rFonts w:hint="eastAsia" w:ascii="宋体" w:hAnsi="宋体" w:cs="宋体"/>
          <w:color w:val="auto"/>
          <w:sz w:val="24"/>
          <w:szCs w:val="24"/>
          <w:highlight w:val="none"/>
        </w:rPr>
        <w:t>（投标</w:t>
      </w:r>
      <w:r>
        <w:rPr>
          <w:rFonts w:hint="eastAsia" w:ascii="宋体" w:hAnsi="宋体"/>
          <w:color w:val="auto"/>
          <w:sz w:val="24"/>
          <w:szCs w:val="24"/>
          <w:highlight w:val="none"/>
        </w:rPr>
        <w:t>截止时间后的投标文件恕不接受</w:t>
      </w:r>
      <w:r>
        <w:rPr>
          <w:rFonts w:hint="eastAsia" w:ascii="宋体" w:hAnsi="宋体" w:cs="宋体"/>
          <w:color w:val="auto"/>
          <w:sz w:val="24"/>
          <w:szCs w:val="24"/>
          <w:highlight w:val="none"/>
        </w:rPr>
        <w:t>）</w:t>
      </w:r>
    </w:p>
    <w:p w14:paraId="1DD5AC7A">
      <w:pPr>
        <w:keepNext w:val="0"/>
        <w:keepLines w:val="0"/>
        <w:pageBreakBefore w:val="0"/>
        <w:widowControl/>
        <w:spacing w:line="360" w:lineRule="auto"/>
        <w:ind w:firstLine="480"/>
        <w:jc w:val="both"/>
        <w:outlineLvl w:val="9"/>
        <w:rPr>
          <w:rFonts w:ascii="宋体" w:hAnsi="宋体" w:cs="宋体"/>
          <w:color w:val="auto"/>
          <w:sz w:val="24"/>
          <w:szCs w:val="24"/>
          <w:highlight w:val="none"/>
        </w:rPr>
      </w:pPr>
      <w:r>
        <w:rPr>
          <w:rFonts w:hint="eastAsia" w:ascii="宋体" w:hAnsi="宋体" w:cs="宋体"/>
          <w:color w:val="auto"/>
          <w:sz w:val="24"/>
          <w:szCs w:val="24"/>
          <w:highlight w:val="none"/>
        </w:rPr>
        <w:t>网上投标解密时间：</w:t>
      </w:r>
      <w:r>
        <w:rPr>
          <w:rFonts w:hint="eastAsia" w:ascii="宋体" w:hAnsi="宋体" w:cs="宋体"/>
          <w:color w:val="auto"/>
          <w:sz w:val="24"/>
          <w:szCs w:val="24"/>
          <w:highlight w:val="none"/>
          <w:lang w:eastAsia="zh-CN"/>
        </w:rPr>
        <w:t>2025年11月13日</w:t>
      </w:r>
      <w:r>
        <w:rPr>
          <w:rFonts w:hint="eastAsia" w:ascii="宋体" w:hAnsi="宋体" w:cs="宋体"/>
          <w:color w:val="auto"/>
          <w:sz w:val="24"/>
          <w:szCs w:val="24"/>
          <w:highlight w:val="none"/>
        </w:rPr>
        <w:t>开启解密后半小时。</w:t>
      </w:r>
    </w:p>
    <w:p w14:paraId="5EE2B3EB">
      <w:pPr>
        <w:keepNext w:val="0"/>
        <w:keepLines w:val="0"/>
        <w:pageBreakBefore w:val="0"/>
        <w:widowControl/>
        <w:spacing w:line="360" w:lineRule="auto"/>
        <w:ind w:firstLine="480"/>
        <w:jc w:val="both"/>
        <w:outlineLvl w:val="9"/>
        <w:rPr>
          <w:rFonts w:hint="eastAsia" w:ascii="宋体" w:hAnsi="宋体"/>
          <w:bCs/>
          <w:color w:val="auto"/>
          <w:sz w:val="24"/>
          <w:szCs w:val="24"/>
          <w:highlight w:val="none"/>
        </w:rPr>
      </w:pPr>
      <w:r>
        <w:rPr>
          <w:rFonts w:hint="eastAsia" w:ascii="宋体" w:hAnsi="宋体"/>
          <w:color w:val="auto"/>
          <w:sz w:val="24"/>
          <w:szCs w:val="24"/>
          <w:highlight w:val="none"/>
        </w:rPr>
        <w:t>投标及开标地点：网上线上投标。</w:t>
      </w:r>
      <w:r>
        <w:rPr>
          <w:rFonts w:ascii="宋体" w:hAnsi="宋体"/>
          <w:color w:val="auto"/>
          <w:sz w:val="24"/>
          <w:szCs w:val="24"/>
          <w:highlight w:val="none"/>
        </w:rPr>
        <w:t xml:space="preserve"> </w:t>
      </w:r>
    </w:p>
    <w:p w14:paraId="29D35EC7">
      <w:pPr>
        <w:keepNext w:val="0"/>
        <w:keepLines w:val="0"/>
        <w:pageBreakBefore w:val="0"/>
        <w:spacing w:line="360" w:lineRule="auto"/>
        <w:ind w:firstLine="480"/>
        <w:jc w:val="both"/>
        <w:outlineLvl w:val="9"/>
        <w:rPr>
          <w:rFonts w:ascii="宋体"/>
          <w:bCs/>
          <w:color w:val="auto"/>
          <w:sz w:val="24"/>
          <w:szCs w:val="24"/>
          <w:highlight w:val="none"/>
        </w:rPr>
      </w:pPr>
      <w:r>
        <w:rPr>
          <w:rFonts w:hint="eastAsia" w:ascii="宋体" w:hAnsi="宋体"/>
          <w:bCs/>
          <w:color w:val="auto"/>
          <w:sz w:val="24"/>
          <w:szCs w:val="24"/>
          <w:highlight w:val="none"/>
        </w:rPr>
        <w:t>定标时间：评标结束</w:t>
      </w:r>
    </w:p>
    <w:p w14:paraId="75664AF9">
      <w:pPr>
        <w:keepNext w:val="0"/>
        <w:keepLines w:val="0"/>
        <w:pageBreakBefore w:val="0"/>
        <w:widowControl/>
        <w:spacing w:line="360" w:lineRule="auto"/>
        <w:ind w:firstLine="480"/>
        <w:jc w:val="both"/>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定标地点：无锡市公共资源交易中心新吴分中心评标室</w:t>
      </w:r>
    </w:p>
    <w:p w14:paraId="03B5DC01">
      <w:pPr>
        <w:keepNext w:val="0"/>
        <w:keepLines w:val="0"/>
        <w:pageBreakBefore w:val="0"/>
        <w:spacing w:line="360" w:lineRule="auto"/>
        <w:ind w:firstLine="480"/>
        <w:jc w:val="both"/>
        <w:outlineLvl w:val="1"/>
        <w:rPr>
          <w:rFonts w:hint="eastAsia" w:ascii="黑体" w:hAnsi="黑体" w:eastAsia="黑体" w:cs="Times New Roman"/>
          <w:bCs/>
          <w:color w:val="auto"/>
          <w:sz w:val="24"/>
          <w:szCs w:val="24"/>
          <w:highlight w:val="none"/>
        </w:rPr>
      </w:pPr>
      <w:r>
        <w:rPr>
          <w:rFonts w:hint="eastAsia" w:ascii="黑体" w:hAnsi="黑体" w:eastAsia="黑体" w:cs="Times New Roman"/>
          <w:bCs/>
          <w:color w:val="auto"/>
          <w:sz w:val="24"/>
          <w:szCs w:val="24"/>
          <w:highlight w:val="none"/>
        </w:rPr>
        <w:t>（七）投标有效期：开标之日起90天</w:t>
      </w:r>
    </w:p>
    <w:p w14:paraId="1B125F76">
      <w:pPr>
        <w:keepNext w:val="0"/>
        <w:keepLines w:val="0"/>
        <w:pageBreakBefore w:val="0"/>
        <w:spacing w:line="360" w:lineRule="auto"/>
        <w:ind w:firstLine="480"/>
        <w:jc w:val="both"/>
        <w:outlineLvl w:val="1"/>
        <w:rPr>
          <w:rFonts w:hint="eastAsia" w:ascii="黑体" w:hAnsi="黑体" w:eastAsia="黑体" w:cs="Times New Roman"/>
          <w:bCs/>
          <w:color w:val="auto"/>
          <w:sz w:val="24"/>
          <w:szCs w:val="24"/>
          <w:highlight w:val="none"/>
        </w:rPr>
      </w:pPr>
      <w:r>
        <w:rPr>
          <w:rFonts w:hint="eastAsia" w:ascii="黑体" w:hAnsi="黑体" w:eastAsia="黑体" w:cs="Times New Roman"/>
          <w:bCs/>
          <w:color w:val="auto"/>
          <w:sz w:val="24"/>
          <w:szCs w:val="24"/>
          <w:highlight w:val="none"/>
        </w:rPr>
        <w:t>（八）采购方法：</w:t>
      </w:r>
    </w:p>
    <w:p w14:paraId="1B102577">
      <w:pPr>
        <w:keepNext w:val="0"/>
        <w:keepLines w:val="0"/>
        <w:pageBreakBefore w:val="0"/>
        <w:widowControl/>
        <w:spacing w:line="360" w:lineRule="auto"/>
        <w:ind w:firstLine="480"/>
        <w:jc w:val="both"/>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本次采购采用</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江苏省政府采购（苏采云）平台</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进行招标投标活动，招标、投标、评标和中标结果发布全程电子化。</w:t>
      </w:r>
    </w:p>
    <w:p w14:paraId="19890C39">
      <w:pPr>
        <w:keepNext w:val="0"/>
        <w:keepLines w:val="0"/>
        <w:pageBreakBefore w:val="0"/>
        <w:spacing w:line="360" w:lineRule="auto"/>
        <w:ind w:firstLine="480"/>
        <w:jc w:val="both"/>
        <w:outlineLvl w:val="1"/>
        <w:rPr>
          <w:rFonts w:hint="eastAsia" w:ascii="黑体" w:hAnsi="黑体" w:eastAsia="黑体" w:cs="Times New Roman"/>
          <w:bCs/>
          <w:color w:val="auto"/>
          <w:sz w:val="24"/>
          <w:szCs w:val="24"/>
          <w:highlight w:val="none"/>
          <w:lang w:val="en-US" w:eastAsia="zh-CN"/>
        </w:rPr>
      </w:pPr>
      <w:r>
        <w:rPr>
          <w:rFonts w:hint="eastAsia" w:ascii="黑体" w:hAnsi="黑体" w:eastAsia="黑体" w:cs="Times New Roman"/>
          <w:bCs/>
          <w:color w:val="auto"/>
          <w:sz w:val="24"/>
          <w:szCs w:val="24"/>
          <w:highlight w:val="none"/>
          <w:lang w:eastAsia="zh-CN"/>
        </w:rPr>
        <w:t>（</w:t>
      </w:r>
      <w:r>
        <w:rPr>
          <w:rFonts w:hint="eastAsia" w:ascii="黑体" w:hAnsi="黑体" w:eastAsia="黑体" w:cs="Times New Roman"/>
          <w:bCs/>
          <w:color w:val="auto"/>
          <w:sz w:val="24"/>
          <w:szCs w:val="24"/>
          <w:highlight w:val="none"/>
          <w:lang w:val="en-US" w:eastAsia="zh-CN"/>
        </w:rPr>
        <w:t>九</w:t>
      </w:r>
      <w:r>
        <w:rPr>
          <w:rFonts w:hint="eastAsia" w:ascii="黑体" w:hAnsi="黑体" w:eastAsia="黑体" w:cs="Times New Roman"/>
          <w:bCs/>
          <w:color w:val="auto"/>
          <w:sz w:val="24"/>
          <w:szCs w:val="24"/>
          <w:highlight w:val="none"/>
          <w:lang w:eastAsia="zh-CN"/>
        </w:rPr>
        <w:t>）</w:t>
      </w:r>
      <w:r>
        <w:rPr>
          <w:rFonts w:hint="eastAsia" w:ascii="黑体" w:hAnsi="黑体" w:eastAsia="黑体" w:cs="Times New Roman"/>
          <w:bCs/>
          <w:color w:val="auto"/>
          <w:sz w:val="24"/>
          <w:szCs w:val="24"/>
          <w:highlight w:val="none"/>
          <w:lang w:val="en-US" w:eastAsia="zh-CN"/>
        </w:rPr>
        <w:t>本次采购联系方式</w:t>
      </w:r>
    </w:p>
    <w:p w14:paraId="49ED7C93">
      <w:pPr>
        <w:keepNext w:val="0"/>
        <w:keepLines w:val="0"/>
        <w:pageBreakBefore w:val="0"/>
        <w:widowControl/>
        <w:spacing w:line="360" w:lineRule="auto"/>
        <w:ind w:firstLine="480"/>
        <w:jc w:val="both"/>
        <w:outlineLvl w:val="9"/>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有关本次采购活动程序方面的问题，可来人、来函（传真）或电话联系。</w:t>
      </w:r>
    </w:p>
    <w:p w14:paraId="7D09F32B">
      <w:pPr>
        <w:keepNext w:val="0"/>
        <w:keepLines w:val="0"/>
        <w:pageBreakBefore w:val="0"/>
        <w:widowControl/>
        <w:spacing w:line="360" w:lineRule="auto"/>
        <w:ind w:firstLine="480"/>
        <w:jc w:val="both"/>
        <w:outlineLvl w:val="9"/>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采购人：</w:t>
      </w:r>
      <w:r>
        <w:rPr>
          <w:rFonts w:hint="eastAsia" w:ascii="宋体" w:hAnsi="宋体" w:cs="Times New Roman"/>
          <w:color w:val="auto"/>
          <w:sz w:val="24"/>
          <w:szCs w:val="24"/>
          <w:highlight w:val="none"/>
          <w:lang w:val="zh-CN"/>
        </w:rPr>
        <w:t>无锡市新吴区人民政府鸿山街道办事处</w:t>
      </w:r>
    </w:p>
    <w:p w14:paraId="79364D1B">
      <w:pPr>
        <w:keepNext w:val="0"/>
        <w:keepLines w:val="0"/>
        <w:pageBreakBefore w:val="0"/>
        <w:widowControl/>
        <w:spacing w:line="360" w:lineRule="auto"/>
        <w:ind w:firstLine="480"/>
        <w:jc w:val="both"/>
        <w:outlineLvl w:val="9"/>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zh-CN"/>
        </w:rPr>
        <w:t>采购人地址：无锡市新吴区</w:t>
      </w:r>
      <w:r>
        <w:rPr>
          <w:rFonts w:hint="eastAsia" w:ascii="宋体" w:hAnsi="宋体" w:cs="Times New Roman"/>
          <w:color w:val="auto"/>
          <w:sz w:val="24"/>
          <w:szCs w:val="24"/>
          <w:highlight w:val="none"/>
          <w:lang w:val="en-US" w:eastAsia="zh-CN"/>
        </w:rPr>
        <w:t>锦鸿路1号</w:t>
      </w:r>
    </w:p>
    <w:p w14:paraId="2472BDFC">
      <w:pPr>
        <w:keepNext w:val="0"/>
        <w:keepLines w:val="0"/>
        <w:pageBreakBefore w:val="0"/>
        <w:widowControl/>
        <w:spacing w:line="360" w:lineRule="auto"/>
        <w:ind w:firstLine="480"/>
        <w:jc w:val="both"/>
        <w:outlineLvl w:val="9"/>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zh-CN"/>
        </w:rPr>
        <w:t>联系人</w:t>
      </w:r>
      <w:r>
        <w:rPr>
          <w:rFonts w:hint="eastAsia" w:ascii="宋体" w:hAnsi="宋体" w:cs="Times New Roman"/>
          <w:color w:val="auto"/>
          <w:sz w:val="24"/>
          <w:szCs w:val="24"/>
          <w:highlight w:val="none"/>
          <w:lang w:val="zh-CN"/>
        </w:rPr>
        <w:t>：</w:t>
      </w:r>
      <w:r>
        <w:rPr>
          <w:rFonts w:hint="eastAsia" w:ascii="宋体" w:hAnsi="宋体" w:cs="Times New Roman"/>
          <w:color w:val="auto"/>
          <w:sz w:val="24"/>
          <w:szCs w:val="24"/>
          <w:highlight w:val="none"/>
          <w:lang w:val="en-US" w:eastAsia="zh-CN"/>
        </w:rPr>
        <w:t>陈周军</w:t>
      </w:r>
    </w:p>
    <w:p w14:paraId="3222E525">
      <w:pPr>
        <w:keepNext w:val="0"/>
        <w:keepLines w:val="0"/>
        <w:pageBreakBefore w:val="0"/>
        <w:widowControl/>
        <w:spacing w:line="360" w:lineRule="auto"/>
        <w:ind w:firstLine="480"/>
        <w:jc w:val="both"/>
        <w:outlineLvl w:val="9"/>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zh-CN"/>
        </w:rPr>
        <w:t>联系电话：</w:t>
      </w:r>
      <w:r>
        <w:rPr>
          <w:rFonts w:hint="eastAsia" w:ascii="宋体" w:hAnsi="宋体" w:cs="Times New Roman"/>
          <w:color w:val="auto"/>
          <w:sz w:val="24"/>
          <w:szCs w:val="24"/>
          <w:highlight w:val="none"/>
          <w:lang w:val="en-US" w:eastAsia="zh-CN"/>
        </w:rPr>
        <w:t>0510-88997130</w:t>
      </w:r>
    </w:p>
    <w:p w14:paraId="56C389ED">
      <w:pPr>
        <w:keepNext w:val="0"/>
        <w:keepLines w:val="0"/>
        <w:pageBreakBefore w:val="0"/>
        <w:widowControl/>
        <w:spacing w:line="360" w:lineRule="auto"/>
        <w:ind w:firstLine="480"/>
        <w:jc w:val="both"/>
        <w:outlineLvl w:val="9"/>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采购代理机构：</w:t>
      </w:r>
      <w:r>
        <w:rPr>
          <w:rFonts w:hint="eastAsia" w:ascii="宋体" w:hAnsi="宋体" w:cs="Times New Roman"/>
          <w:color w:val="auto"/>
          <w:sz w:val="24"/>
          <w:szCs w:val="24"/>
          <w:highlight w:val="none"/>
          <w:lang w:val="zh-CN"/>
        </w:rPr>
        <w:t>无锡彰誉技术咨询有限公司</w:t>
      </w:r>
    </w:p>
    <w:p w14:paraId="5531FDBF">
      <w:pPr>
        <w:keepNext w:val="0"/>
        <w:keepLines w:val="0"/>
        <w:pageBreakBefore w:val="0"/>
        <w:widowControl/>
        <w:spacing w:line="360" w:lineRule="auto"/>
        <w:ind w:firstLine="480"/>
        <w:jc w:val="both"/>
        <w:outlineLvl w:val="9"/>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zh-CN"/>
        </w:rPr>
        <w:t>联系人：</w:t>
      </w:r>
      <w:r>
        <w:rPr>
          <w:rFonts w:hint="eastAsia" w:ascii="宋体" w:hAnsi="宋体" w:cs="Times New Roman"/>
          <w:color w:val="auto"/>
          <w:sz w:val="24"/>
          <w:szCs w:val="24"/>
          <w:highlight w:val="none"/>
          <w:lang w:val="en-US" w:eastAsia="zh-CN"/>
        </w:rPr>
        <w:t>朱工</w:t>
      </w:r>
    </w:p>
    <w:p w14:paraId="3740074E">
      <w:pPr>
        <w:keepNext w:val="0"/>
        <w:keepLines w:val="0"/>
        <w:pageBreakBefore w:val="0"/>
        <w:widowControl/>
        <w:spacing w:line="360" w:lineRule="auto"/>
        <w:ind w:firstLine="480"/>
        <w:jc w:val="both"/>
        <w:outlineLvl w:val="9"/>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zh-CN"/>
        </w:rPr>
        <w:t>联系电话：</w:t>
      </w:r>
      <w:r>
        <w:rPr>
          <w:rFonts w:hint="eastAsia" w:ascii="宋体" w:hAnsi="宋体" w:cs="Times New Roman"/>
          <w:color w:val="auto"/>
          <w:sz w:val="24"/>
          <w:szCs w:val="24"/>
          <w:highlight w:val="none"/>
          <w:lang w:val="en-US" w:eastAsia="zh-CN"/>
        </w:rPr>
        <w:t>0510-88710616</w:t>
      </w:r>
    </w:p>
    <w:p w14:paraId="3B952AEC">
      <w:pPr>
        <w:keepNext w:val="0"/>
        <w:keepLines w:val="0"/>
        <w:pageBreakBefore w:val="0"/>
        <w:widowControl/>
        <w:spacing w:line="360" w:lineRule="auto"/>
        <w:ind w:firstLine="480"/>
        <w:jc w:val="both"/>
        <w:outlineLvl w:val="9"/>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联系地址：</w:t>
      </w:r>
      <w:r>
        <w:rPr>
          <w:rFonts w:hint="eastAsia" w:ascii="宋体" w:hAnsi="宋体" w:cs="Times New Roman"/>
          <w:color w:val="auto"/>
          <w:sz w:val="24"/>
          <w:szCs w:val="24"/>
          <w:highlight w:val="none"/>
          <w:lang w:val="zh-CN"/>
        </w:rPr>
        <w:t>无锡市锡山经济开发区长泰国际社区南A区11栋83-1</w:t>
      </w:r>
    </w:p>
    <w:p w14:paraId="153A67D2">
      <w:pPr>
        <w:keepNext w:val="0"/>
        <w:keepLines w:val="0"/>
        <w:pageBreakBefore w:val="0"/>
        <w:widowControl/>
        <w:spacing w:line="360" w:lineRule="auto"/>
        <w:ind w:firstLine="480"/>
        <w:jc w:val="both"/>
        <w:outlineLvl w:val="9"/>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邮政编码：214000</w:t>
      </w:r>
    </w:p>
    <w:p w14:paraId="5E179FAE">
      <w:pPr>
        <w:keepNext w:val="0"/>
        <w:keepLines w:val="0"/>
        <w:pageBreakBefore w:val="0"/>
        <w:widowControl/>
        <w:spacing w:line="360" w:lineRule="auto"/>
        <w:ind w:firstLine="480"/>
        <w:jc w:val="both"/>
        <w:outlineLvl w:val="9"/>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电子邮件地址：</w:t>
      </w:r>
      <w:r>
        <w:rPr>
          <w:rFonts w:hint="eastAsia" w:ascii="宋体" w:hAnsi="宋体" w:cs="Times New Roman"/>
          <w:color w:val="auto"/>
          <w:sz w:val="24"/>
          <w:szCs w:val="24"/>
          <w:highlight w:val="none"/>
          <w:lang w:val="en-US" w:eastAsia="zh-CN"/>
        </w:rPr>
        <w:t>2532046986</w:t>
      </w:r>
      <w:r>
        <w:rPr>
          <w:rFonts w:hint="eastAsia" w:ascii="宋体" w:hAnsi="宋体" w:eastAsia="宋体" w:cs="Times New Roman"/>
          <w:color w:val="auto"/>
          <w:sz w:val="24"/>
          <w:szCs w:val="24"/>
          <w:highlight w:val="none"/>
          <w:lang w:val="zh-CN"/>
        </w:rPr>
        <w:t>@qq.com</w:t>
      </w:r>
    </w:p>
    <w:p w14:paraId="11B16FDA">
      <w:pPr>
        <w:keepNext w:val="0"/>
        <w:keepLines w:val="0"/>
        <w:pageBreakBefore w:val="0"/>
        <w:spacing w:line="360" w:lineRule="auto"/>
        <w:ind w:firstLine="480"/>
        <w:jc w:val="both"/>
        <w:outlineLvl w:val="1"/>
        <w:rPr>
          <w:rFonts w:hint="eastAsia" w:ascii="黑体" w:hAnsi="黑体" w:eastAsia="黑体" w:cs="Times New Roman"/>
          <w:bCs/>
          <w:color w:val="auto"/>
          <w:sz w:val="24"/>
          <w:szCs w:val="24"/>
          <w:highlight w:val="none"/>
        </w:rPr>
      </w:pPr>
      <w:r>
        <w:rPr>
          <w:rFonts w:hint="eastAsia" w:ascii="黑体" w:hAnsi="黑体" w:eastAsia="黑体" w:cs="Times New Roman"/>
          <w:bCs/>
          <w:color w:val="auto"/>
          <w:sz w:val="24"/>
          <w:szCs w:val="24"/>
          <w:highlight w:val="none"/>
          <w:lang w:val="en-US" w:eastAsia="zh-CN"/>
        </w:rPr>
        <w:t>（十）其他</w:t>
      </w:r>
    </w:p>
    <w:p w14:paraId="24C954E8">
      <w:pPr>
        <w:keepNext w:val="0"/>
        <w:keepLines w:val="0"/>
        <w:pageBreakBefore w:val="0"/>
        <w:widowControl/>
        <w:spacing w:line="360" w:lineRule="auto"/>
        <w:ind w:firstLine="48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因供应商可能会存在操作不熟练、业务不熟悉等因素，为保证开评标流程顺利，供应商如有问题应及时反馈，供应商在投标文件递交截止时间前网上上传电子投标文件。</w:t>
      </w:r>
    </w:p>
    <w:p w14:paraId="42662021">
      <w:pPr>
        <w:keepNext w:val="0"/>
        <w:keepLines w:val="0"/>
        <w:pageBreakBefore w:val="0"/>
        <w:widowControl/>
        <w:spacing w:line="360" w:lineRule="auto"/>
        <w:ind w:firstLine="48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2）本项目为不见面开标，仅需在任意地点登录苏采云平台参加开标会议，供应商无需到达开标现场。</w:t>
      </w:r>
    </w:p>
    <w:p w14:paraId="604B3685">
      <w:pPr>
        <w:keepNext w:val="0"/>
        <w:keepLines w:val="0"/>
        <w:pageBreakBefore w:val="0"/>
        <w:widowControl/>
        <w:spacing w:line="360" w:lineRule="auto"/>
        <w:ind w:firstLine="48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3）纸质投标文件：本项目为不见面开标，报价人无需递交纸质投标文件至现场，</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lang w:val="zh-CN"/>
        </w:rPr>
        <w:t>后中标供应商向采购代理机构提供与电子投标文件完全一致的纸质投标文件（</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份：一正、</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val="zh-CN"/>
        </w:rPr>
        <w:t>副）。</w:t>
      </w:r>
    </w:p>
    <w:p w14:paraId="3B65EDDB">
      <w:pPr>
        <w:keepNext w:val="0"/>
        <w:keepLines w:val="0"/>
        <w:pageBreakBefore w:val="0"/>
        <w:widowControl/>
        <w:spacing w:line="360" w:lineRule="auto"/>
        <w:ind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4）供应商请仔细阅读供应商注册流程和招标文件中关于电子开评标等相关事项，如有问题可发送邮件或电话咨询。</w:t>
      </w:r>
    </w:p>
    <w:p w14:paraId="531AA16B">
      <w:pPr>
        <w:pStyle w:val="284"/>
        <w:keepNext w:val="0"/>
        <w:keepLines w:val="0"/>
        <w:pageBreakBefore w:val="0"/>
        <w:tabs>
          <w:tab w:val="left" w:pos="0"/>
        </w:tabs>
        <w:spacing w:before="0" w:beforeAutospacing="0" w:after="0" w:afterAutospacing="0" w:line="360" w:lineRule="auto"/>
        <w:ind w:left="0" w:firstLine="560"/>
        <w:jc w:val="center"/>
        <w:outlineLvl w:val="9"/>
        <w:rPr>
          <w:rFonts w:ascii="黑体" w:eastAsia="黑体"/>
          <w:bCs/>
          <w:color w:val="auto"/>
          <w:sz w:val="28"/>
          <w:szCs w:val="28"/>
          <w:highlight w:val="none"/>
        </w:rPr>
        <w:sectPr>
          <w:pgSz w:w="11906" w:h="16838"/>
          <w:pgMar w:top="1134" w:right="1134" w:bottom="1134" w:left="1134" w:header="624" w:footer="907" w:gutter="0"/>
          <w:cols w:space="1701" w:num="1"/>
          <w:rtlGutter w:val="0"/>
          <w:docGrid w:linePitch="360" w:charSpace="0"/>
        </w:sectPr>
      </w:pPr>
    </w:p>
    <w:p w14:paraId="14304FF6">
      <w:pPr>
        <w:spacing w:line="360" w:lineRule="auto"/>
        <w:jc w:val="center"/>
        <w:outlineLvl w:val="0"/>
        <w:rPr>
          <w:rFonts w:hint="eastAsia" w:ascii="黑体" w:eastAsia="黑体"/>
          <w:bCs/>
          <w:color w:val="auto"/>
          <w:sz w:val="28"/>
          <w:szCs w:val="28"/>
          <w:highlight w:val="none"/>
        </w:rPr>
      </w:pPr>
      <w:bookmarkStart w:id="2" w:name="_Toc2367"/>
      <w:r>
        <w:rPr>
          <w:rFonts w:hint="eastAsia" w:ascii="黑体" w:eastAsia="黑体"/>
          <w:bCs/>
          <w:color w:val="auto"/>
          <w:sz w:val="28"/>
          <w:szCs w:val="28"/>
          <w:highlight w:val="none"/>
          <w:lang w:eastAsia="zh-CN"/>
        </w:rPr>
        <w:t>二、</w:t>
      </w:r>
      <w:r>
        <w:rPr>
          <w:rFonts w:hint="eastAsia" w:ascii="黑体" w:eastAsia="黑体"/>
          <w:bCs/>
          <w:color w:val="auto"/>
          <w:sz w:val="28"/>
          <w:szCs w:val="28"/>
          <w:highlight w:val="none"/>
        </w:rPr>
        <w:t>投标供应商须知</w:t>
      </w:r>
      <w:bookmarkEnd w:id="2"/>
    </w:p>
    <w:p w14:paraId="6A6174A1">
      <w:pPr>
        <w:spacing w:line="360" w:lineRule="auto"/>
        <w:ind w:firstLine="480"/>
        <w:jc w:val="both"/>
        <w:outlineLvl w:val="1"/>
        <w:rPr>
          <w:rFonts w:ascii="黑体" w:hAnsi="宋体" w:eastAsia="黑体"/>
          <w:bCs/>
          <w:color w:val="auto"/>
          <w:sz w:val="24"/>
          <w:szCs w:val="24"/>
          <w:highlight w:val="none"/>
        </w:rPr>
      </w:pPr>
      <w:r>
        <w:rPr>
          <w:rFonts w:hint="eastAsia" w:ascii="黑体" w:hAnsi="宋体" w:eastAsia="黑体"/>
          <w:bCs/>
          <w:color w:val="auto"/>
          <w:sz w:val="24"/>
          <w:szCs w:val="24"/>
          <w:highlight w:val="none"/>
        </w:rPr>
        <w:t>（一）遵循原则：</w:t>
      </w:r>
    </w:p>
    <w:p w14:paraId="3CF15AE3">
      <w:pPr>
        <w:keepNext w:val="0"/>
        <w:keepLines w:val="0"/>
        <w:pageBreakBefore w:val="0"/>
        <w:widowControl w:val="0"/>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公开透明原则、公平竞争原则、公正原则和诚实信用原则。</w:t>
      </w:r>
    </w:p>
    <w:p w14:paraId="4CF677F0">
      <w:pPr>
        <w:spacing w:line="360" w:lineRule="auto"/>
        <w:ind w:firstLine="480"/>
        <w:jc w:val="both"/>
        <w:outlineLvl w:val="1"/>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lang w:val="en-US" w:eastAsia="zh-CN"/>
        </w:rPr>
        <w:t>（二）</w:t>
      </w:r>
      <w:r>
        <w:rPr>
          <w:rFonts w:hint="eastAsia" w:ascii="黑体" w:hAnsi="宋体" w:eastAsia="黑体" w:cs="Times New Roman"/>
          <w:bCs/>
          <w:color w:val="auto"/>
          <w:sz w:val="24"/>
          <w:szCs w:val="24"/>
          <w:highlight w:val="none"/>
        </w:rPr>
        <w:t>招标文件：</w:t>
      </w:r>
    </w:p>
    <w:p w14:paraId="034286F9">
      <w:pPr>
        <w:keepNext w:val="0"/>
        <w:keepLines w:val="0"/>
        <w:pageBreakBefore w:val="0"/>
        <w:widowControl w:val="0"/>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eastAsia="宋体" w:cs="宋体"/>
          <w:bCs/>
          <w:color w:val="auto"/>
          <w:sz w:val="24"/>
          <w:szCs w:val="24"/>
          <w:highlight w:val="none"/>
        </w:rPr>
        <w:t>招标文件包括本文件目录所列全部内容，投标供应商应仔细阅读，并在投标文件中充分响应招标文件的所有要求。</w:t>
      </w:r>
    </w:p>
    <w:p w14:paraId="6D5256A8">
      <w:pPr>
        <w:keepNext w:val="0"/>
        <w:keepLines w:val="0"/>
        <w:pageBreakBefore w:val="0"/>
        <w:widowControl w:val="0"/>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eastAsia="宋体" w:cs="宋体"/>
          <w:bCs/>
          <w:color w:val="auto"/>
          <w:sz w:val="24"/>
          <w:szCs w:val="24"/>
          <w:highlight w:val="none"/>
        </w:rPr>
        <w:t>招标文件中的“法定代表人”是指投标供应商的营业执照的“法定代表人”或相关部门的登记证明文件中的“负责人”。</w:t>
      </w:r>
    </w:p>
    <w:p w14:paraId="5EEA67A8">
      <w:pPr>
        <w:keepNext w:val="0"/>
        <w:keepLines w:val="0"/>
        <w:pageBreakBefore w:val="0"/>
        <w:widowControl w:val="0"/>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eastAsia="宋体" w:cs="宋体"/>
          <w:bCs/>
          <w:color w:val="auto"/>
          <w:sz w:val="24"/>
          <w:szCs w:val="24"/>
          <w:highlight w:val="none"/>
        </w:rPr>
        <w:t>投标供应商应在苏采云平台（http://jszfcg.jscz.gov.cn/jszc/login）下载招标文件及有关资料，按要求制作、上传投标文件，对招标文件各项内容做出实质性响应，否则投标无效。</w:t>
      </w:r>
    </w:p>
    <w:p w14:paraId="7E4B2041">
      <w:pPr>
        <w:keepNext w:val="0"/>
        <w:keepLines w:val="0"/>
        <w:pageBreakBefore w:val="0"/>
        <w:widowControl w:val="0"/>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宋体" w:hAnsi="宋体" w:eastAsia="宋体" w:cs="宋体"/>
          <w:bCs/>
          <w:color w:val="auto"/>
          <w:sz w:val="24"/>
          <w:szCs w:val="24"/>
          <w:highlight w:val="none"/>
        </w:rPr>
        <w:t>招标文件仅作为本次招投标使用。</w:t>
      </w:r>
    </w:p>
    <w:p w14:paraId="3E573D9D">
      <w:pPr>
        <w:spacing w:line="360" w:lineRule="auto"/>
        <w:ind w:firstLine="480"/>
        <w:jc w:val="both"/>
        <w:outlineLvl w:val="1"/>
        <w:rPr>
          <w:rFonts w:hint="eastAsia" w:ascii="黑体" w:hAnsi="宋体" w:eastAsia="黑体" w:cs="Times New Roman"/>
          <w:bCs/>
          <w:color w:val="auto"/>
          <w:sz w:val="24"/>
          <w:szCs w:val="24"/>
          <w:highlight w:val="none"/>
          <w:lang w:val="en-US" w:eastAsia="zh-CN"/>
        </w:rPr>
      </w:pPr>
      <w:r>
        <w:rPr>
          <w:rFonts w:hint="eastAsia" w:ascii="黑体" w:hAnsi="宋体" w:eastAsia="黑体" w:cs="Times New Roman"/>
          <w:bCs/>
          <w:color w:val="auto"/>
          <w:sz w:val="24"/>
          <w:szCs w:val="24"/>
          <w:highlight w:val="none"/>
          <w:lang w:val="en-US" w:eastAsia="zh-CN"/>
        </w:rPr>
        <w:t>（三）招标文件的解释：</w:t>
      </w:r>
    </w:p>
    <w:p w14:paraId="1B8A6BE6">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本文件的最终解释权归采购人。</w:t>
      </w:r>
    </w:p>
    <w:p w14:paraId="4900C9E1">
      <w:pPr>
        <w:spacing w:line="360" w:lineRule="auto"/>
        <w:ind w:firstLine="480"/>
        <w:jc w:val="both"/>
        <w:outlineLvl w:val="1"/>
        <w:rPr>
          <w:rFonts w:hint="eastAsia" w:ascii="黑体" w:hAnsi="宋体" w:eastAsia="黑体" w:cs="Times New Roman"/>
          <w:bCs/>
          <w:color w:val="auto"/>
          <w:sz w:val="24"/>
          <w:szCs w:val="24"/>
          <w:highlight w:val="none"/>
          <w:lang w:val="en-US" w:eastAsia="zh-CN"/>
        </w:rPr>
      </w:pPr>
      <w:r>
        <w:rPr>
          <w:rFonts w:hint="eastAsia" w:ascii="黑体" w:hAnsi="宋体" w:eastAsia="黑体" w:cs="Times New Roman"/>
          <w:bCs/>
          <w:color w:val="auto"/>
          <w:sz w:val="24"/>
          <w:szCs w:val="24"/>
          <w:highlight w:val="none"/>
          <w:lang w:val="en-US" w:eastAsia="zh-CN"/>
        </w:rPr>
        <w:t>（四）招标文件的补充或修正：</w:t>
      </w:r>
    </w:p>
    <w:p w14:paraId="2DFD821F">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cs="宋体"/>
          <w:bCs/>
          <w:color w:val="auto"/>
          <w:sz w:val="24"/>
          <w:szCs w:val="24"/>
          <w:highlight w:val="none"/>
          <w:lang w:eastAsia="zh-CN"/>
        </w:rPr>
        <w:t>无锡彰誉技术咨询有限公司</w:t>
      </w:r>
      <w:r>
        <w:rPr>
          <w:rFonts w:hint="eastAsia" w:ascii="宋体" w:hAnsi="宋体" w:eastAsia="宋体" w:cs="宋体"/>
          <w:bCs/>
          <w:color w:val="auto"/>
          <w:sz w:val="24"/>
          <w:szCs w:val="24"/>
          <w:highlight w:val="none"/>
        </w:rPr>
        <w:t>可在投标截止时间十五日前对招标文件进行必要的澄清或者修改，不足15日的，将顺延提交投标文件的截止时间。</w:t>
      </w:r>
    </w:p>
    <w:p w14:paraId="0C87B1D8">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2.如需对招标文件进行澄清或修正，</w:t>
      </w:r>
      <w:r>
        <w:rPr>
          <w:rFonts w:hint="eastAsia" w:ascii="宋体" w:hAnsi="宋体" w:cs="宋体"/>
          <w:bCs/>
          <w:color w:val="auto"/>
          <w:sz w:val="24"/>
          <w:szCs w:val="24"/>
          <w:highlight w:val="none"/>
          <w:lang w:eastAsia="zh-CN"/>
        </w:rPr>
        <w:t>无锡彰誉技术咨询有限公司</w:t>
      </w:r>
      <w:r>
        <w:rPr>
          <w:rFonts w:hint="eastAsia" w:ascii="宋体" w:hAnsi="宋体" w:eastAsia="宋体" w:cs="宋体"/>
          <w:bCs/>
          <w:color w:val="auto"/>
          <w:sz w:val="24"/>
          <w:szCs w:val="24"/>
          <w:highlight w:val="none"/>
        </w:rPr>
        <w:t>将在江苏政府采购网发布更正公告，该澄清或修正的内容为招标文件的组成部分。投标供应商应在投标截止时间前</w:t>
      </w:r>
      <w:r>
        <w:rPr>
          <w:rFonts w:hint="eastAsia" w:ascii="宋体" w:hAnsi="宋体" w:eastAsia="宋体" w:cs="宋体"/>
          <w:color w:val="auto"/>
          <w:sz w:val="24"/>
          <w:szCs w:val="24"/>
          <w:highlight w:val="none"/>
        </w:rPr>
        <w:t>登录</w:t>
      </w:r>
      <w:r>
        <w:rPr>
          <w:rFonts w:hint="eastAsia" w:ascii="宋体" w:hAnsi="宋体" w:eastAsia="宋体" w:cs="宋体"/>
          <w:bCs/>
          <w:color w:val="auto"/>
          <w:sz w:val="24"/>
          <w:szCs w:val="24"/>
          <w:highlight w:val="none"/>
        </w:rPr>
        <w:t>投标客户端</w:t>
      </w:r>
      <w:r>
        <w:rPr>
          <w:rFonts w:hint="eastAsia" w:ascii="宋体" w:hAnsi="宋体" w:eastAsia="宋体" w:cs="宋体"/>
          <w:color w:val="auto"/>
          <w:sz w:val="24"/>
          <w:szCs w:val="24"/>
          <w:highlight w:val="none"/>
        </w:rPr>
        <w:t>或</w:t>
      </w:r>
      <w:r>
        <w:rPr>
          <w:rFonts w:hint="eastAsia" w:ascii="宋体" w:hAnsi="宋体" w:eastAsia="宋体" w:cs="宋体"/>
          <w:bCs/>
          <w:color w:val="auto"/>
          <w:sz w:val="24"/>
          <w:szCs w:val="24"/>
          <w:highlight w:val="none"/>
        </w:rPr>
        <w:t>关注原招标公告媒体上发布的相关更正公告</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因投标供应商未尽注意义务，未及时更新上传投标文件</w:t>
      </w:r>
      <w:r>
        <w:rPr>
          <w:rFonts w:hint="eastAsia" w:ascii="宋体" w:hAnsi="宋体" w:eastAsia="宋体" w:cs="宋体"/>
          <w:color w:val="auto"/>
          <w:sz w:val="24"/>
          <w:szCs w:val="24"/>
          <w:highlight w:val="none"/>
        </w:rPr>
        <w:t>或</w:t>
      </w:r>
      <w:r>
        <w:rPr>
          <w:rFonts w:hint="eastAsia" w:ascii="宋体" w:hAnsi="宋体" w:cs="宋体"/>
          <w:color w:val="auto"/>
          <w:sz w:val="24"/>
          <w:szCs w:val="24"/>
          <w:highlight w:val="none"/>
          <w:lang w:eastAsia="zh-CN"/>
        </w:rPr>
        <w:t>全面</w:t>
      </w:r>
      <w:r>
        <w:rPr>
          <w:rFonts w:hint="eastAsia" w:ascii="宋体" w:hAnsi="宋体" w:eastAsia="宋体" w:cs="宋体"/>
          <w:bCs/>
          <w:color w:val="auto"/>
          <w:sz w:val="24"/>
          <w:szCs w:val="24"/>
          <w:highlight w:val="none"/>
        </w:rPr>
        <w:t>关注更正公告导致其提交的投标材料不符合</w:t>
      </w:r>
      <w:r>
        <w:rPr>
          <w:rFonts w:hint="eastAsia" w:ascii="宋体" w:hAnsi="宋体" w:eastAsia="宋体" w:cs="宋体"/>
          <w:bCs/>
          <w:color w:val="auto"/>
          <w:sz w:val="24"/>
          <w:szCs w:val="24"/>
          <w:highlight w:val="none"/>
          <w:lang w:val="en-US" w:eastAsia="zh-CN"/>
        </w:rPr>
        <w:t>招标文件</w:t>
      </w:r>
      <w:r>
        <w:rPr>
          <w:rFonts w:hint="eastAsia" w:ascii="宋体" w:hAnsi="宋体" w:eastAsia="宋体" w:cs="宋体"/>
          <w:bCs/>
          <w:color w:val="auto"/>
          <w:sz w:val="24"/>
          <w:szCs w:val="24"/>
          <w:highlight w:val="none"/>
        </w:rPr>
        <w:t>要求，而造成的损失及风险（包括但不限于未中标）由投标供应商自行承担。</w:t>
      </w:r>
    </w:p>
    <w:p w14:paraId="1192E145">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u w:val="none"/>
        </w:rPr>
        <w:t>政府采购供应商质疑函范本</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eastAsia="zh-CN"/>
        </w:rPr>
        <w:t>无锡彰誉技术咨询有限公司</w:t>
      </w:r>
      <w:r>
        <w:rPr>
          <w:rFonts w:hint="eastAsia" w:ascii="宋体" w:hAnsi="宋体" w:eastAsia="宋体" w:cs="宋体"/>
          <w:bCs/>
          <w:color w:val="auto"/>
          <w:sz w:val="24"/>
          <w:szCs w:val="24"/>
          <w:highlight w:val="none"/>
        </w:rPr>
        <w:t>将在收到符合上述要求的书面质疑后七个工作日内，对质疑内容</w:t>
      </w:r>
      <w:r>
        <w:rPr>
          <w:rFonts w:hint="eastAsia" w:ascii="宋体" w:hAnsi="宋体" w:cs="宋体"/>
          <w:bCs/>
          <w:color w:val="auto"/>
          <w:sz w:val="24"/>
          <w:szCs w:val="24"/>
          <w:highlight w:val="none"/>
          <w:lang w:eastAsia="zh-CN"/>
        </w:rPr>
        <w:t>作出</w:t>
      </w:r>
      <w:r>
        <w:rPr>
          <w:rFonts w:hint="eastAsia" w:ascii="宋体" w:hAnsi="宋体" w:eastAsia="宋体" w:cs="宋体"/>
          <w:bCs/>
          <w:color w:val="auto"/>
          <w:sz w:val="24"/>
          <w:szCs w:val="24"/>
          <w:highlight w:val="none"/>
        </w:rPr>
        <w:t>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无锡彰誉技术咨询有限公司</w:t>
      </w:r>
      <w:r>
        <w:rPr>
          <w:rFonts w:hint="eastAsia" w:ascii="宋体" w:hAnsi="宋体" w:eastAsia="宋体" w:cs="宋体"/>
          <w:bCs/>
          <w:color w:val="auto"/>
          <w:sz w:val="24"/>
          <w:szCs w:val="24"/>
          <w:highlight w:val="none"/>
        </w:rPr>
        <w:t>对无效质疑不予受理。</w:t>
      </w:r>
    </w:p>
    <w:p w14:paraId="404A143C">
      <w:pPr>
        <w:spacing w:line="360" w:lineRule="auto"/>
        <w:ind w:firstLine="480"/>
        <w:jc w:val="both"/>
        <w:outlineLvl w:val="1"/>
        <w:rPr>
          <w:rFonts w:hint="eastAsia" w:ascii="黑体" w:hAnsi="宋体" w:eastAsia="黑体" w:cs="Times New Roman"/>
          <w:bCs/>
          <w:color w:val="auto"/>
          <w:sz w:val="24"/>
          <w:szCs w:val="24"/>
          <w:highlight w:val="none"/>
          <w:lang w:val="en-US" w:eastAsia="zh-CN"/>
        </w:rPr>
      </w:pPr>
      <w:r>
        <w:rPr>
          <w:rFonts w:hint="eastAsia" w:ascii="黑体" w:hAnsi="宋体" w:eastAsia="黑体" w:cs="Times New Roman"/>
          <w:bCs/>
          <w:color w:val="auto"/>
          <w:sz w:val="24"/>
          <w:szCs w:val="24"/>
          <w:highlight w:val="none"/>
          <w:lang w:val="en-US" w:eastAsia="zh-CN"/>
        </w:rPr>
        <w:t>（五）质疑与投诉</w:t>
      </w:r>
    </w:p>
    <w:p w14:paraId="47CC4C63">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1.质疑的提出和答复、投诉的提起和处理须按《政府采购质疑和投诉办法》（中华人民共和国财政部令第94号）相关规定执行。</w:t>
      </w:r>
    </w:p>
    <w:p w14:paraId="2E6F2545">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2.质疑的提出</w:t>
      </w:r>
    </w:p>
    <w:p w14:paraId="34631FBF">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2.1提出质疑的供应商应当是参与所质疑项目采购活动的供应商。</w:t>
      </w:r>
    </w:p>
    <w:p w14:paraId="35A24A8B">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2.2潜在供应商已依法获取其可质疑的</w:t>
      </w: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的，可以对该文件提出质疑。对</w:t>
      </w: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提出质疑的，应当在获取</w:t>
      </w: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或者</w:t>
      </w: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公告期限届满之日起7个工作日内以书面形式提出。</w:t>
      </w:r>
    </w:p>
    <w:p w14:paraId="40900F5E">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2.3供应商认为</w:t>
      </w: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、采购过程、中标或者成交结果使自己的权益受到损害的，可以在知道或者应知其权益受到损害之日起7个工作日内，以书面形式向采购人提出质疑。供应商</w:t>
      </w:r>
      <w:r>
        <w:rPr>
          <w:rFonts w:hint="eastAsia" w:ascii="宋体" w:hAnsi="宋体" w:cs="宋体"/>
          <w:bCs/>
          <w:color w:val="auto"/>
          <w:sz w:val="24"/>
          <w:szCs w:val="24"/>
          <w:highlight w:val="none"/>
          <w:lang w:eastAsia="zh-CN"/>
        </w:rPr>
        <w:t>须在</w:t>
      </w:r>
      <w:r>
        <w:rPr>
          <w:rFonts w:hint="eastAsia" w:ascii="宋体" w:hAnsi="宋体" w:eastAsia="宋体" w:cs="宋体"/>
          <w:bCs/>
          <w:color w:val="auto"/>
          <w:sz w:val="24"/>
          <w:szCs w:val="24"/>
          <w:highlight w:val="none"/>
        </w:rPr>
        <w:t>法定质疑期内一次性提出针对同一采购程序环节的质疑。</w:t>
      </w:r>
    </w:p>
    <w:p w14:paraId="0022F916">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2.4供应商提出质疑应当提交质疑函和必要的证明材料。质疑函应当包括下列内容：</w:t>
      </w:r>
    </w:p>
    <w:p w14:paraId="3838CE95">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（1）供应商的姓名或者名称、地址、邮编、联系人及联系电话；</w:t>
      </w:r>
    </w:p>
    <w:p w14:paraId="0E4F6BC2">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（2）质疑项目的名称、编号；</w:t>
      </w:r>
    </w:p>
    <w:p w14:paraId="5E3E95CF">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（3）具体、明确的质疑事项和与质疑事项相关的请求；</w:t>
      </w:r>
    </w:p>
    <w:p w14:paraId="5D2A5291">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（4）事实依据；</w:t>
      </w:r>
    </w:p>
    <w:p w14:paraId="57C4444A">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（5）必要的法律依据；</w:t>
      </w:r>
    </w:p>
    <w:p w14:paraId="6F92D49A">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（6）提出质疑的日期。</w:t>
      </w:r>
    </w:p>
    <w:p w14:paraId="0FE1650C">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2.5供应商为自然人的，质疑函应当由本人签字；供应商为法人或者其他组织的，应当由法定代表人、主要负责人，或者其授权代表签字或者盖章，并加盖公章。质疑函须原件递交。</w:t>
      </w:r>
    </w:p>
    <w:p w14:paraId="3AE14547">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p>
    <w:p w14:paraId="03EA25DC">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2.7以联合体形式参加政府采购活动的，其投诉应当由组成联合体的所有供应商共同提出。</w:t>
      </w:r>
    </w:p>
    <w:p w14:paraId="580860D4">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eastAsia="宋体" w:cs="宋体"/>
          <w:bCs/>
          <w:color w:val="auto"/>
          <w:sz w:val="24"/>
          <w:szCs w:val="24"/>
          <w:highlight w:val="none"/>
        </w:rPr>
        <w:t>质疑的受理与答复</w:t>
      </w:r>
    </w:p>
    <w:p w14:paraId="468EC55A">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3.1采购人负责供应商质疑答复。</w:t>
      </w:r>
    </w:p>
    <w:p w14:paraId="5D3A8642">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3.2质疑函由采购人办理签收手续。</w:t>
      </w:r>
    </w:p>
    <w:p w14:paraId="278FCE3E">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3.3质疑函接收单位信息：</w:t>
      </w:r>
    </w:p>
    <w:p w14:paraId="557A2684">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接收单位：</w:t>
      </w:r>
      <w:r>
        <w:rPr>
          <w:rFonts w:hint="eastAsia" w:ascii="宋体" w:hAnsi="宋体" w:cs="宋体"/>
          <w:bCs/>
          <w:color w:val="auto"/>
          <w:sz w:val="24"/>
          <w:szCs w:val="24"/>
          <w:highlight w:val="none"/>
          <w:lang w:eastAsia="zh-CN"/>
        </w:rPr>
        <w:t>无锡彰誉技术咨询有限公司</w:t>
      </w:r>
    </w:p>
    <w:p w14:paraId="464620A3">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地址：</w:t>
      </w:r>
      <w:r>
        <w:rPr>
          <w:rFonts w:hint="eastAsia" w:ascii="宋体" w:hAnsi="宋体" w:cs="宋体"/>
          <w:bCs/>
          <w:color w:val="auto"/>
          <w:sz w:val="24"/>
          <w:szCs w:val="24"/>
          <w:highlight w:val="none"/>
          <w:lang w:eastAsia="zh-CN"/>
        </w:rPr>
        <w:t>无锡市锡山经济开发区长泰国际社区南A区11栋83-1</w:t>
      </w:r>
    </w:p>
    <w:p w14:paraId="2B1FDF7B">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邮编：214000</w:t>
      </w:r>
    </w:p>
    <w:p w14:paraId="2545A670">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联系人：</w:t>
      </w:r>
      <w:r>
        <w:rPr>
          <w:rFonts w:hint="eastAsia" w:ascii="宋体" w:hAnsi="宋体" w:cs="宋体"/>
          <w:bCs/>
          <w:color w:val="auto"/>
          <w:sz w:val="24"/>
          <w:szCs w:val="24"/>
          <w:highlight w:val="none"/>
          <w:lang w:val="en-US" w:eastAsia="zh-CN"/>
        </w:rPr>
        <w:t>朱工</w:t>
      </w:r>
    </w:p>
    <w:p w14:paraId="0514C858">
      <w:pPr>
        <w:keepNext w:val="0"/>
        <w:keepLines w:val="0"/>
        <w:pageBreakBefore w:val="0"/>
        <w:widowControl w:val="0"/>
        <w:tabs>
          <w:tab w:val="left" w:pos="0"/>
          <w:tab w:val="left" w:pos="945"/>
        </w:tabs>
        <w:spacing w:line="360" w:lineRule="auto"/>
        <w:ind w:left="0" w:firstLine="480"/>
        <w:jc w:val="both"/>
        <w:outlineLvl w:val="9"/>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电话：</w:t>
      </w:r>
      <w:r>
        <w:rPr>
          <w:rFonts w:hint="eastAsia" w:ascii="宋体" w:hAnsi="宋体" w:cs="宋体"/>
          <w:bCs/>
          <w:color w:val="auto"/>
          <w:sz w:val="24"/>
          <w:szCs w:val="24"/>
          <w:highlight w:val="none"/>
          <w:lang w:val="en-US" w:eastAsia="zh-CN"/>
        </w:rPr>
        <w:t>0510-88710616</w:t>
      </w:r>
    </w:p>
    <w:p w14:paraId="4CE9DF87">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3.4采购人应当在收到质疑函后7个工作日内作出答复，并以书面形式通知质疑供应商和其他有关供应商。</w:t>
      </w:r>
    </w:p>
    <w:p w14:paraId="02FFD57C">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3.5采购人处理的其他要求按《政府采购质疑和投诉办法》（中华人民共和国财政部令第94号）相关规定执行。</w:t>
      </w:r>
    </w:p>
    <w:p w14:paraId="560312D2">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宋体" w:hAnsi="宋体" w:eastAsia="宋体" w:cs="宋体"/>
          <w:bCs/>
          <w:color w:val="auto"/>
          <w:sz w:val="24"/>
          <w:szCs w:val="24"/>
          <w:highlight w:val="none"/>
        </w:rPr>
        <w:t>投诉的提起</w:t>
      </w:r>
    </w:p>
    <w:p w14:paraId="0448A817">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4.1质疑供应商对采购人的答复不满意，或者采购人未在规定时间内作出答复的，可以在答复期满后15个工作日内向采购人所属预算级次的财政部门提起投诉。</w:t>
      </w:r>
    </w:p>
    <w:p w14:paraId="07691D23">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4.2供应商投诉时</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应当提交投诉书和必要的证明材料，并按照被投诉采购人（以下简称被投诉人）和与投诉事项有关的供应商数量提供投诉书的副本。投诉书应当包括下列内容：</w:t>
      </w:r>
    </w:p>
    <w:p w14:paraId="482B7A9A">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（1）投诉人和被投诉人的姓名或者名称、通讯地址、邮编、联系人及联系电话；</w:t>
      </w:r>
    </w:p>
    <w:p w14:paraId="05781786">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（2）质疑和质疑答复情况说明及相关证明材料；</w:t>
      </w:r>
    </w:p>
    <w:p w14:paraId="57E39299">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（3）具体、明确的投诉事项和与投诉事项相关的投诉请求；</w:t>
      </w:r>
    </w:p>
    <w:p w14:paraId="551873CA">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（4）事实依据；</w:t>
      </w:r>
    </w:p>
    <w:p w14:paraId="1C5E811F">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（5）法律依据；</w:t>
      </w:r>
    </w:p>
    <w:p w14:paraId="5D617D6C">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（6）提起投诉的日期。</w:t>
      </w:r>
    </w:p>
    <w:p w14:paraId="5FE587EA">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4.3投诉人为自然人的，投诉书应当由本人签字；投诉人为法人或者其他组织的，投诉书应当由法定代表人、主要负责人，或者其授权代表签字或者盖章，并加盖公章。</w:t>
      </w:r>
    </w:p>
    <w:p w14:paraId="52B1121A">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4.4投诉人提起投诉应当符合下列条件：</w:t>
      </w:r>
    </w:p>
    <w:p w14:paraId="6F677756">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（1）提起投诉前已依法进行质疑；</w:t>
      </w:r>
    </w:p>
    <w:p w14:paraId="6DF5200E">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（2）投诉书内容符合本办法的规定；</w:t>
      </w:r>
    </w:p>
    <w:p w14:paraId="10CBF2DC">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（3）在投诉有效期限内提起投诉；</w:t>
      </w:r>
    </w:p>
    <w:p w14:paraId="4C2DB816">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（4）同一投诉事项未经财政部门投诉处理；</w:t>
      </w:r>
    </w:p>
    <w:p w14:paraId="17A77F08">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（5）财政部规定的其他条件。</w:t>
      </w:r>
    </w:p>
    <w:p w14:paraId="58CBCA44">
      <w:pPr>
        <w:keepNext w:val="0"/>
        <w:keepLines w:val="0"/>
        <w:pageBreakBefore w:val="0"/>
        <w:widowControl w:val="0"/>
        <w:tabs>
          <w:tab w:val="left" w:pos="0"/>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4.5供应商投诉的事项不得超出已质疑事项的范围，但基于质疑答复内容提出的投诉事项除外。</w:t>
      </w:r>
    </w:p>
    <w:p w14:paraId="1C5D5CE0">
      <w:pPr>
        <w:keepNext w:val="0"/>
        <w:keepLines w:val="0"/>
        <w:pageBreakBefore w:val="0"/>
        <w:widowControl w:val="0"/>
        <w:numPr>
          <w:ilvl w:val="0"/>
          <w:numId w:val="0"/>
        </w:numPr>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5.</w:t>
      </w:r>
      <w:r>
        <w:rPr>
          <w:rFonts w:hint="eastAsia" w:ascii="宋体" w:hAnsi="宋体" w:eastAsia="宋体" w:cs="宋体"/>
          <w:bCs/>
          <w:color w:val="auto"/>
          <w:sz w:val="24"/>
          <w:szCs w:val="24"/>
          <w:highlight w:val="none"/>
        </w:rPr>
        <w:t>由采购人所属预算级次的财政部门根据《政府采购质疑和投诉办法》（中华人民共和国财政部令第94号）相关规定进行投诉处理。</w:t>
      </w:r>
    </w:p>
    <w:p w14:paraId="1DB15F33">
      <w:pPr>
        <w:spacing w:line="360" w:lineRule="auto"/>
        <w:ind w:firstLine="480"/>
        <w:jc w:val="both"/>
        <w:outlineLvl w:val="1"/>
        <w:rPr>
          <w:rFonts w:hint="eastAsia" w:ascii="黑体" w:hAnsi="宋体" w:eastAsia="黑体" w:cs="Times New Roman"/>
          <w:bCs/>
          <w:color w:val="auto"/>
          <w:sz w:val="24"/>
          <w:szCs w:val="24"/>
          <w:highlight w:val="none"/>
          <w:lang w:val="en-US" w:eastAsia="zh-CN"/>
        </w:rPr>
      </w:pPr>
      <w:r>
        <w:rPr>
          <w:rFonts w:hint="eastAsia" w:ascii="黑体" w:hAnsi="宋体" w:eastAsia="黑体" w:cs="Times New Roman"/>
          <w:bCs/>
          <w:color w:val="auto"/>
          <w:sz w:val="24"/>
          <w:szCs w:val="24"/>
          <w:highlight w:val="none"/>
          <w:lang w:val="en-US" w:eastAsia="zh-CN"/>
        </w:rPr>
        <w:t>（六）投标文件的组成（相应内容上传至投标客户端）：</w:t>
      </w:r>
    </w:p>
    <w:p w14:paraId="32422E6A">
      <w:pPr>
        <w:keepNext w:val="0"/>
        <w:keepLines w:val="0"/>
        <w:pageBreakBefore w:val="0"/>
        <w:widowControl w:val="0"/>
        <w:spacing w:line="360" w:lineRule="auto"/>
        <w:ind w:left="0" w:firstLine="480"/>
        <w:jc w:val="both"/>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1.投标函</w:t>
      </w:r>
      <w:r>
        <w:rPr>
          <w:rFonts w:hint="eastAsia" w:ascii="宋体" w:hAnsi="宋体" w:eastAsia="宋体" w:cs="宋体"/>
          <w:b/>
          <w:bCs w:val="0"/>
          <w:color w:val="auto"/>
          <w:sz w:val="24"/>
          <w:szCs w:val="24"/>
          <w:highlight w:val="none"/>
        </w:rPr>
        <w:t>（格式见附件）</w:t>
      </w:r>
    </w:p>
    <w:p w14:paraId="5CF8D7BD">
      <w:pPr>
        <w:keepNext w:val="0"/>
        <w:keepLines w:val="0"/>
        <w:pageBreakBefore w:val="0"/>
        <w:widowControl w:val="0"/>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2.资格、资信证明文件</w:t>
      </w:r>
      <w:r>
        <w:rPr>
          <w:rFonts w:hint="eastAsia" w:ascii="宋体" w:hAnsi="宋体" w:eastAsia="宋体" w:cs="宋体"/>
          <w:b/>
          <w:bCs w:val="0"/>
          <w:color w:val="auto"/>
          <w:sz w:val="24"/>
          <w:szCs w:val="24"/>
          <w:highlight w:val="none"/>
        </w:rPr>
        <w:t>（扫描后上传</w:t>
      </w:r>
      <w:r>
        <w:rPr>
          <w:rFonts w:hint="eastAsia" w:ascii="宋体" w:hAnsi="宋体" w:cs="宋体"/>
          <w:b/>
          <w:bCs w:val="0"/>
          <w:color w:val="auto"/>
          <w:sz w:val="24"/>
          <w:szCs w:val="24"/>
          <w:highlight w:val="none"/>
          <w:lang w:val="en-US" w:eastAsia="zh-CN"/>
        </w:rPr>
        <w:t>至投标文件</w:t>
      </w:r>
      <w:r>
        <w:rPr>
          <w:rFonts w:hint="eastAsia" w:ascii="宋体" w:hAnsi="宋体" w:eastAsia="宋体" w:cs="宋体"/>
          <w:b/>
          <w:bCs w:val="0"/>
          <w:color w:val="auto"/>
          <w:sz w:val="24"/>
          <w:szCs w:val="24"/>
          <w:highlight w:val="none"/>
        </w:rPr>
        <w:t>，身份证应为正、反面）</w:t>
      </w:r>
      <w:r>
        <w:rPr>
          <w:rFonts w:hint="eastAsia" w:ascii="宋体" w:hAnsi="宋体" w:eastAsia="宋体" w:cs="宋体"/>
          <w:bCs/>
          <w:color w:val="auto"/>
          <w:sz w:val="24"/>
          <w:szCs w:val="24"/>
          <w:highlight w:val="none"/>
        </w:rPr>
        <w:t>：</w:t>
      </w:r>
    </w:p>
    <w:p w14:paraId="2394E20A">
      <w:pPr>
        <w:keepNext w:val="0"/>
        <w:keepLines w:val="0"/>
        <w:pageBreakBefore w:val="0"/>
        <w:widowControl w:val="0"/>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（1）关于资格的声明函</w:t>
      </w:r>
      <w:r>
        <w:rPr>
          <w:rFonts w:hint="eastAsia" w:ascii="宋体" w:hAnsi="宋体" w:eastAsia="宋体" w:cs="宋体"/>
          <w:b/>
          <w:bCs w:val="0"/>
          <w:color w:val="auto"/>
          <w:sz w:val="24"/>
          <w:szCs w:val="24"/>
          <w:highlight w:val="none"/>
        </w:rPr>
        <w:t>（格式见附件）</w:t>
      </w:r>
      <w:r>
        <w:rPr>
          <w:rFonts w:hint="eastAsia" w:ascii="宋体" w:hAnsi="宋体" w:eastAsia="宋体" w:cs="宋体"/>
          <w:bCs/>
          <w:color w:val="auto"/>
          <w:sz w:val="24"/>
          <w:szCs w:val="24"/>
          <w:highlight w:val="none"/>
        </w:rPr>
        <w:t>；</w:t>
      </w:r>
    </w:p>
    <w:p w14:paraId="756B6DD8">
      <w:pPr>
        <w:keepNext w:val="0"/>
        <w:keepLines w:val="0"/>
        <w:pageBreakBefore w:val="0"/>
        <w:widowControl w:val="0"/>
        <w:spacing w:line="360" w:lineRule="auto"/>
        <w:ind w:left="0" w:firstLine="48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（2）具有独立承担民事责任能力的投标供应商营业执照或相关部门的登记证明文件</w:t>
      </w:r>
      <w:r>
        <w:rPr>
          <w:rFonts w:hint="eastAsia" w:ascii="宋体" w:hAnsi="宋体" w:cs="宋体"/>
          <w:bCs/>
          <w:color w:val="auto"/>
          <w:sz w:val="24"/>
          <w:szCs w:val="24"/>
          <w:highlight w:val="none"/>
          <w:lang w:eastAsia="zh-CN"/>
        </w:rPr>
        <w:t>；</w:t>
      </w:r>
    </w:p>
    <w:p w14:paraId="2DD7252A">
      <w:pPr>
        <w:keepNext w:val="0"/>
        <w:keepLines w:val="0"/>
        <w:pageBreakBefore w:val="0"/>
        <w:widowControl w:val="0"/>
        <w:spacing w:line="360" w:lineRule="auto"/>
        <w:ind w:left="0" w:firstLine="48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（3）投标供应商法定代表人授权委托书</w:t>
      </w:r>
      <w:r>
        <w:rPr>
          <w:rFonts w:hint="eastAsia" w:ascii="宋体" w:hAnsi="宋体" w:eastAsia="宋体" w:cs="宋体"/>
          <w:b/>
          <w:bCs w:val="0"/>
          <w:color w:val="auto"/>
          <w:sz w:val="24"/>
          <w:szCs w:val="24"/>
          <w:highlight w:val="none"/>
        </w:rPr>
        <w:t>（格式见附件，法定代表人亲自参加投标的除外）</w:t>
      </w:r>
      <w:r>
        <w:rPr>
          <w:rFonts w:hint="eastAsia" w:ascii="宋体" w:hAnsi="宋体" w:cs="宋体"/>
          <w:b/>
          <w:bCs w:val="0"/>
          <w:color w:val="auto"/>
          <w:sz w:val="24"/>
          <w:szCs w:val="24"/>
          <w:highlight w:val="none"/>
          <w:lang w:eastAsia="zh-CN"/>
        </w:rPr>
        <w:t>；</w:t>
      </w:r>
    </w:p>
    <w:p w14:paraId="7EC6C838">
      <w:pPr>
        <w:keepNext w:val="0"/>
        <w:keepLines w:val="0"/>
        <w:pageBreakBefore w:val="0"/>
        <w:widowControl w:val="0"/>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（4）投标供应商法定代表人身份证</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正、反面</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6C6DECE4">
      <w:pPr>
        <w:keepNext w:val="0"/>
        <w:keepLines w:val="0"/>
        <w:pageBreakBefore w:val="0"/>
        <w:widowControl w:val="0"/>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（5）投标供应商法定代表人授权代表身份证（</w:t>
      </w:r>
      <w:r>
        <w:rPr>
          <w:rFonts w:hint="eastAsia" w:ascii="宋体" w:hAnsi="宋体" w:eastAsia="宋体" w:cs="宋体"/>
          <w:bCs/>
          <w:color w:val="auto"/>
          <w:sz w:val="24"/>
          <w:szCs w:val="24"/>
          <w:highlight w:val="none"/>
          <w:lang w:val="en-US" w:eastAsia="zh-CN"/>
        </w:rPr>
        <w:t>正、反面</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法定代表人亲自参加投标的除外）；</w:t>
      </w:r>
    </w:p>
    <w:p w14:paraId="0E48CB9A">
      <w:pPr>
        <w:keepNext w:val="0"/>
        <w:keepLines w:val="0"/>
        <w:pageBreakBefore w:val="0"/>
        <w:widowControl w:val="0"/>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（6）投标供应商近一年中任意一个月份（不含投标当月）为其法定代表人授权代表缴纳社保的证明（由相关主管部门出具，新成立公司除外、法定代表人亲自参加投标的除外）；</w:t>
      </w:r>
    </w:p>
    <w:p w14:paraId="645A79A4">
      <w:pPr>
        <w:keepNext w:val="0"/>
        <w:keepLines w:val="0"/>
        <w:pageBreakBefore w:val="0"/>
        <w:widowControl w:val="0"/>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（7）投标供应商近一年中任意一个月份（不含投标当月）的财务状况报告（资产负债表和利润表）或由会计师事务所出具的近两年中任意一个年度的审计报告和所附已</w:t>
      </w:r>
      <w:r>
        <w:rPr>
          <w:rFonts w:hint="eastAsia" w:ascii="宋体" w:hAnsi="宋体" w:cs="宋体"/>
          <w:bCs/>
          <w:color w:val="auto"/>
          <w:sz w:val="24"/>
          <w:szCs w:val="24"/>
          <w:highlight w:val="none"/>
          <w:lang w:eastAsia="zh-CN"/>
        </w:rPr>
        <w:t>审计</w:t>
      </w:r>
      <w:r>
        <w:rPr>
          <w:rFonts w:hint="eastAsia" w:ascii="宋体" w:hAnsi="宋体" w:eastAsia="宋体" w:cs="宋体"/>
          <w:bCs/>
          <w:color w:val="auto"/>
          <w:sz w:val="24"/>
          <w:szCs w:val="24"/>
          <w:highlight w:val="none"/>
        </w:rPr>
        <w:t>财务报告；</w:t>
      </w:r>
    </w:p>
    <w:p w14:paraId="1DE7A4D9">
      <w:pPr>
        <w:keepNext w:val="0"/>
        <w:keepLines w:val="0"/>
        <w:pageBreakBefore w:val="0"/>
        <w:widowControl w:val="0"/>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（8）投标供应商近一年中任意一个月份（不含投标当月）的依法缴纳税收的相关材料（提供相关主管部门证明或银行代扣证明）；</w:t>
      </w:r>
    </w:p>
    <w:p w14:paraId="1AD14B60">
      <w:pPr>
        <w:keepNext w:val="0"/>
        <w:keepLines w:val="0"/>
        <w:pageBreakBefore w:val="0"/>
        <w:widowControl w:val="0"/>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（9）投标供应商近一年中任意一个月份（不含投标当月）的依法缴纳社会保障资金的相关材料（提供相关主管部门证明或银行代扣证明）；</w:t>
      </w:r>
    </w:p>
    <w:p w14:paraId="2F126CDA">
      <w:pPr>
        <w:keepNext w:val="0"/>
        <w:keepLines w:val="0"/>
        <w:pageBreakBefore w:val="0"/>
        <w:widowControl w:val="0"/>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cs="宋体"/>
          <w:bCs/>
          <w:color w:val="auto"/>
          <w:sz w:val="24"/>
          <w:szCs w:val="24"/>
          <w:highlight w:val="none"/>
          <w:lang w:val="en-US" w:eastAsia="zh-CN"/>
        </w:rPr>
        <w:t>0</w:t>
      </w:r>
      <w:r>
        <w:rPr>
          <w:rFonts w:hint="eastAsia" w:ascii="宋体" w:hAnsi="宋体" w:eastAsia="宋体" w:cs="宋体"/>
          <w:bCs/>
          <w:color w:val="auto"/>
          <w:sz w:val="24"/>
          <w:szCs w:val="24"/>
          <w:highlight w:val="none"/>
        </w:rPr>
        <w:t>）中小企业声明函</w:t>
      </w:r>
      <w:r>
        <w:rPr>
          <w:rFonts w:hint="eastAsia" w:ascii="宋体" w:hAnsi="宋体" w:eastAsia="宋体" w:cs="宋体"/>
          <w:b/>
          <w:bCs w:val="0"/>
          <w:color w:val="auto"/>
          <w:sz w:val="24"/>
          <w:szCs w:val="24"/>
          <w:highlight w:val="none"/>
        </w:rPr>
        <w:t>（格式见附件）</w:t>
      </w:r>
      <w:r>
        <w:rPr>
          <w:rFonts w:hint="eastAsia" w:ascii="宋体" w:hAnsi="宋体" w:eastAsia="宋体" w:cs="宋体"/>
          <w:bCs/>
          <w:color w:val="auto"/>
          <w:sz w:val="24"/>
          <w:szCs w:val="24"/>
          <w:highlight w:val="none"/>
        </w:rPr>
        <w:t>或残疾人福利性单位声明函</w:t>
      </w:r>
      <w:r>
        <w:rPr>
          <w:rFonts w:hint="eastAsia" w:ascii="宋体" w:hAnsi="宋体" w:eastAsia="宋体" w:cs="宋体"/>
          <w:b/>
          <w:bCs w:val="0"/>
          <w:color w:val="auto"/>
          <w:sz w:val="24"/>
          <w:szCs w:val="24"/>
          <w:highlight w:val="none"/>
        </w:rPr>
        <w:t>（格式见附件）</w:t>
      </w:r>
      <w:r>
        <w:rPr>
          <w:rFonts w:hint="eastAsia" w:ascii="宋体" w:hAnsi="宋体" w:eastAsia="宋体" w:cs="宋体"/>
          <w:bCs/>
          <w:color w:val="auto"/>
          <w:sz w:val="24"/>
          <w:szCs w:val="24"/>
          <w:highlight w:val="none"/>
        </w:rPr>
        <w:t>或由省级以上监狱管理局、戒毒管理局</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含新疆生产建设兵团</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出具的属于监狱企业的证明文件扫描件加盖公章；</w:t>
      </w:r>
    </w:p>
    <w:p w14:paraId="14F45A68">
      <w:pPr>
        <w:keepNext w:val="0"/>
        <w:keepLines w:val="0"/>
        <w:pageBreakBefore w:val="0"/>
        <w:widowControl w:val="0"/>
        <w:spacing w:line="360" w:lineRule="auto"/>
        <w:ind w:left="0" w:firstLine="48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11</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承诺书</w:t>
      </w:r>
      <w:r>
        <w:rPr>
          <w:rFonts w:hint="eastAsia" w:ascii="宋体" w:hAnsi="宋体" w:eastAsia="宋体" w:cs="宋体"/>
          <w:b/>
          <w:bCs w:val="0"/>
          <w:color w:val="auto"/>
          <w:sz w:val="24"/>
          <w:szCs w:val="24"/>
          <w:highlight w:val="none"/>
        </w:rPr>
        <w:t>（格式见附件）</w:t>
      </w:r>
    </w:p>
    <w:p w14:paraId="2641E4ED">
      <w:pPr>
        <w:keepNext w:val="0"/>
        <w:keepLines w:val="0"/>
        <w:pageBreakBefore w:val="0"/>
        <w:widowControl w:val="0"/>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3.开标一览表</w:t>
      </w:r>
      <w:r>
        <w:rPr>
          <w:rFonts w:hint="eastAsia" w:ascii="宋体" w:hAnsi="宋体" w:eastAsia="宋体" w:cs="宋体"/>
          <w:b/>
          <w:bCs w:val="0"/>
          <w:color w:val="auto"/>
          <w:sz w:val="24"/>
          <w:szCs w:val="24"/>
          <w:highlight w:val="none"/>
        </w:rPr>
        <w:t>（格式见附件）</w:t>
      </w:r>
    </w:p>
    <w:p w14:paraId="6595C69B">
      <w:pPr>
        <w:keepNext w:val="0"/>
        <w:keepLines w:val="0"/>
        <w:pageBreakBefore w:val="0"/>
        <w:widowControl w:val="0"/>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4.投标报价明细表</w:t>
      </w:r>
      <w:r>
        <w:rPr>
          <w:rFonts w:hint="eastAsia" w:ascii="宋体" w:hAnsi="宋体" w:eastAsia="宋体" w:cs="宋体"/>
          <w:b/>
          <w:bCs w:val="0"/>
          <w:color w:val="auto"/>
          <w:sz w:val="24"/>
          <w:szCs w:val="24"/>
          <w:highlight w:val="none"/>
        </w:rPr>
        <w:t>（格式见附件）</w:t>
      </w:r>
    </w:p>
    <w:p w14:paraId="43CACD04">
      <w:pPr>
        <w:keepNext w:val="0"/>
        <w:keepLines w:val="0"/>
        <w:pageBreakBefore w:val="0"/>
        <w:widowControl w:val="0"/>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cs="宋体"/>
          <w:bCs/>
          <w:color w:val="auto"/>
          <w:sz w:val="24"/>
          <w:szCs w:val="24"/>
          <w:highlight w:val="none"/>
          <w:lang w:val="en-US" w:eastAsia="zh-CN"/>
        </w:rPr>
        <w:t>技术</w:t>
      </w:r>
      <w:r>
        <w:rPr>
          <w:rFonts w:hint="eastAsia" w:ascii="宋体" w:hAnsi="宋体" w:eastAsia="宋体" w:cs="宋体"/>
          <w:bCs/>
          <w:color w:val="auto"/>
          <w:sz w:val="24"/>
          <w:szCs w:val="24"/>
          <w:highlight w:val="none"/>
        </w:rPr>
        <w:t>偏离表</w:t>
      </w:r>
      <w:r>
        <w:rPr>
          <w:rFonts w:hint="eastAsia" w:ascii="宋体" w:hAnsi="宋体" w:eastAsia="宋体" w:cs="宋体"/>
          <w:b/>
          <w:bCs w:val="0"/>
          <w:color w:val="auto"/>
          <w:sz w:val="24"/>
          <w:szCs w:val="24"/>
          <w:highlight w:val="none"/>
        </w:rPr>
        <w:t>（格式见附件）</w:t>
      </w:r>
    </w:p>
    <w:p w14:paraId="39A0C96D">
      <w:pPr>
        <w:keepNext w:val="0"/>
        <w:keepLines w:val="0"/>
        <w:pageBreakBefore w:val="0"/>
        <w:widowControl w:val="0"/>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.技术文件（格式自拟）</w:t>
      </w:r>
    </w:p>
    <w:p w14:paraId="1357022C">
      <w:pPr>
        <w:keepNext w:val="0"/>
        <w:keepLines w:val="0"/>
        <w:pageBreakBefore w:val="0"/>
        <w:widowControl w:val="0"/>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.评分标准中对应</w:t>
      </w:r>
      <w:r>
        <w:rPr>
          <w:rFonts w:hint="eastAsia" w:ascii="宋体" w:hAnsi="宋体" w:cs="宋体"/>
          <w:bCs/>
          <w:color w:val="auto"/>
          <w:sz w:val="24"/>
          <w:szCs w:val="24"/>
          <w:highlight w:val="none"/>
          <w:lang w:eastAsia="zh-CN"/>
        </w:rPr>
        <w:t>的其他</w:t>
      </w:r>
      <w:r>
        <w:rPr>
          <w:rFonts w:hint="eastAsia" w:ascii="宋体" w:hAnsi="宋体" w:eastAsia="宋体" w:cs="宋体"/>
          <w:bCs/>
          <w:color w:val="auto"/>
          <w:sz w:val="24"/>
          <w:szCs w:val="24"/>
          <w:highlight w:val="none"/>
        </w:rPr>
        <w:t>所需证明材料（如有自行添加）</w:t>
      </w:r>
    </w:p>
    <w:p w14:paraId="2B320DD8">
      <w:pPr>
        <w:keepNext w:val="0"/>
        <w:keepLines w:val="0"/>
        <w:pageBreakBefore w:val="0"/>
        <w:widowControl w:val="0"/>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.要求采购人提供的配合（如有自拟并自行添加）</w:t>
      </w:r>
    </w:p>
    <w:p w14:paraId="17F9C8C2">
      <w:pPr>
        <w:keepNext w:val="0"/>
        <w:keepLines w:val="0"/>
        <w:pageBreakBefore w:val="0"/>
        <w:widowControl w:val="0"/>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eastAsia="zh-CN"/>
        </w:rPr>
        <w:t>其他</w:t>
      </w:r>
      <w:r>
        <w:rPr>
          <w:rFonts w:hint="eastAsia" w:ascii="宋体" w:hAnsi="宋体" w:eastAsia="宋体" w:cs="宋体"/>
          <w:bCs/>
          <w:color w:val="auto"/>
          <w:sz w:val="24"/>
          <w:szCs w:val="24"/>
          <w:highlight w:val="none"/>
        </w:rPr>
        <w:t>（投标供应商认为有必要提供的声明和文件，如有自拟并自行添加）</w:t>
      </w:r>
    </w:p>
    <w:p w14:paraId="517AD661">
      <w:pPr>
        <w:keepNext w:val="0"/>
        <w:keepLines w:val="0"/>
        <w:pageBreakBefore w:val="0"/>
        <w:widowControl w:val="0"/>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上述1-</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项投标供应商必须按要求全部提供，否则投标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w:t>
      </w:r>
      <w:r>
        <w:rPr>
          <w:rFonts w:hint="eastAsia" w:ascii="宋体" w:hAnsi="宋体" w:cs="宋体"/>
          <w:bCs/>
          <w:color w:val="auto"/>
          <w:sz w:val="24"/>
          <w:szCs w:val="24"/>
          <w:highlight w:val="none"/>
          <w:lang w:eastAsia="zh-CN"/>
        </w:rPr>
        <w:t>或其他可以</w:t>
      </w:r>
      <w:r>
        <w:rPr>
          <w:rFonts w:hint="eastAsia" w:ascii="宋体" w:hAnsi="宋体" w:eastAsia="宋体" w:cs="宋体"/>
          <w:bCs/>
          <w:color w:val="auto"/>
          <w:sz w:val="24"/>
          <w:szCs w:val="24"/>
          <w:highlight w:val="none"/>
        </w:rPr>
        <w:t>在中国大陆有效居留的许可证明。</w:t>
      </w:r>
    </w:p>
    <w:p w14:paraId="46F57D92">
      <w:pPr>
        <w:spacing w:line="360" w:lineRule="auto"/>
        <w:ind w:firstLine="480"/>
        <w:jc w:val="both"/>
        <w:outlineLvl w:val="1"/>
        <w:rPr>
          <w:rFonts w:hint="eastAsia" w:ascii="黑体" w:hAnsi="宋体" w:eastAsia="黑体" w:cs="Times New Roman"/>
          <w:bCs/>
          <w:color w:val="auto"/>
          <w:sz w:val="24"/>
          <w:szCs w:val="24"/>
          <w:highlight w:val="none"/>
          <w:lang w:val="en-US" w:eastAsia="zh-CN"/>
        </w:rPr>
      </w:pPr>
      <w:r>
        <w:rPr>
          <w:rFonts w:hint="eastAsia" w:ascii="黑体" w:hAnsi="宋体" w:eastAsia="黑体" w:cs="Times New Roman"/>
          <w:bCs/>
          <w:color w:val="auto"/>
          <w:sz w:val="24"/>
          <w:szCs w:val="24"/>
          <w:highlight w:val="none"/>
          <w:lang w:val="en-US" w:eastAsia="zh-CN"/>
        </w:rPr>
        <w:t>（七）投标文件的制作：</w:t>
      </w:r>
    </w:p>
    <w:p w14:paraId="1B56A3BE">
      <w:pPr>
        <w:keepNext w:val="0"/>
        <w:keepLines w:val="0"/>
        <w:pageBreakBefore w:val="0"/>
        <w:widowControl w:val="0"/>
        <w:tabs>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eastAsia="宋体" w:cs="宋体"/>
          <w:bCs/>
          <w:color w:val="auto"/>
          <w:sz w:val="24"/>
          <w:szCs w:val="24"/>
          <w:highlight w:val="none"/>
        </w:rPr>
        <w:t>所有文件、往来函件均应使用简体中文（规格、型号辅助符号例外）。</w:t>
      </w:r>
    </w:p>
    <w:p w14:paraId="27DA1023">
      <w:pPr>
        <w:keepNext w:val="0"/>
        <w:keepLines w:val="0"/>
        <w:pageBreakBefore w:val="0"/>
        <w:widowControl w:val="0"/>
        <w:tabs>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eastAsia="宋体" w:cs="宋体"/>
          <w:bCs/>
          <w:color w:val="auto"/>
          <w:sz w:val="24"/>
          <w:szCs w:val="24"/>
          <w:highlight w:val="none"/>
        </w:rPr>
        <w:t>投标文件由投标供应商按要求如实填写，须有投标供应商（签章）、法定代表人或法定代表人授权代表签章，方为有效，未尽事宜可自行补充。</w:t>
      </w:r>
    </w:p>
    <w:p w14:paraId="752B9A7B">
      <w:pPr>
        <w:keepNext w:val="0"/>
        <w:keepLines w:val="0"/>
        <w:pageBreakBefore w:val="0"/>
        <w:widowControl w:val="0"/>
        <w:tabs>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eastAsia="宋体" w:cs="宋体"/>
          <w:bCs/>
          <w:color w:val="auto"/>
          <w:sz w:val="24"/>
          <w:szCs w:val="24"/>
          <w:highlight w:val="none"/>
        </w:rPr>
        <w:t>如无特别说明，投标供应商报价一律以人民币为投标结算货币</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结算单位为“元”。</w:t>
      </w:r>
    </w:p>
    <w:p w14:paraId="0E9FD532">
      <w:pPr>
        <w:keepNext w:val="0"/>
        <w:keepLines w:val="0"/>
        <w:pageBreakBefore w:val="0"/>
        <w:widowControl w:val="0"/>
        <w:tabs>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宋体" w:hAnsi="宋体" w:eastAsia="宋体" w:cs="宋体"/>
          <w:bCs/>
          <w:color w:val="auto"/>
          <w:sz w:val="24"/>
          <w:szCs w:val="24"/>
          <w:highlight w:val="none"/>
        </w:rPr>
        <w:t>投标费用自理。</w:t>
      </w:r>
    </w:p>
    <w:p w14:paraId="3138FBEE">
      <w:pPr>
        <w:spacing w:line="360" w:lineRule="auto"/>
        <w:ind w:firstLine="480"/>
        <w:jc w:val="both"/>
        <w:outlineLvl w:val="1"/>
        <w:rPr>
          <w:rFonts w:hint="eastAsia" w:ascii="黑体" w:hAnsi="宋体" w:eastAsia="黑体" w:cs="Times New Roman"/>
          <w:bCs/>
          <w:color w:val="auto"/>
          <w:sz w:val="24"/>
          <w:szCs w:val="24"/>
          <w:highlight w:val="none"/>
          <w:lang w:val="en-US" w:eastAsia="zh-CN"/>
        </w:rPr>
      </w:pPr>
      <w:r>
        <w:rPr>
          <w:rFonts w:hint="eastAsia" w:ascii="黑体" w:hAnsi="宋体" w:eastAsia="黑体" w:cs="Times New Roman"/>
          <w:bCs/>
          <w:color w:val="auto"/>
          <w:sz w:val="24"/>
          <w:szCs w:val="24"/>
          <w:highlight w:val="none"/>
          <w:lang w:val="en-US" w:eastAsia="zh-CN"/>
        </w:rPr>
        <w:t>（八）网上投标</w:t>
      </w:r>
    </w:p>
    <w:p w14:paraId="31371E40">
      <w:pPr>
        <w:keepNext w:val="0"/>
        <w:keepLines w:val="0"/>
        <w:pageBreakBefore w:val="0"/>
        <w:widowControl w:val="0"/>
        <w:tabs>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1.投标供应商应由其法定代表人或法定代表人授权代表在规定的网上投标时间内，凭CA数字证书登陆苏采云平台获取招标文件，在投标客户端制作投标文件（电子数据），并在投标截止时间之前上传投标文件。</w:t>
      </w:r>
    </w:p>
    <w:p w14:paraId="792F84C4">
      <w:pPr>
        <w:keepNext w:val="0"/>
        <w:keepLines w:val="0"/>
        <w:pageBreakBefore w:val="0"/>
        <w:widowControl w:val="0"/>
        <w:tabs>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2.投标供应商应对CA数字证书妥善保管，如被他人盗用投标，后果自负。</w:t>
      </w:r>
    </w:p>
    <w:p w14:paraId="592FAF3A">
      <w:pPr>
        <w:keepNext w:val="0"/>
        <w:keepLines w:val="0"/>
        <w:pageBreakBefore w:val="0"/>
        <w:widowControl w:val="0"/>
        <w:tabs>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3.投标供应商按招标文件规定的网上解密时间进行解密，如未按时解密后果自负。</w:t>
      </w:r>
    </w:p>
    <w:p w14:paraId="0F62FC2C">
      <w:pPr>
        <w:keepNext w:val="0"/>
        <w:keepLines w:val="0"/>
        <w:pageBreakBefore w:val="0"/>
        <w:widowControl w:val="0"/>
        <w:tabs>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4.投标供应商应当对招标文件提出的要求和条件作出实质性响应，并在电子投标系统逐条应答。</w:t>
      </w:r>
    </w:p>
    <w:p w14:paraId="757D1449">
      <w:pPr>
        <w:keepNext w:val="0"/>
        <w:keepLines w:val="0"/>
        <w:pageBreakBefore w:val="0"/>
        <w:widowControl w:val="0"/>
        <w:tabs>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5.投标供应商应对要求提供的资格证明文件（如资质证书、资格证书）、技术资料（如白皮书、彩页、手册、检测报告等）扫描上传至投标系统。</w:t>
      </w:r>
    </w:p>
    <w:p w14:paraId="189182E4">
      <w:pPr>
        <w:keepNext w:val="0"/>
        <w:keepLines w:val="0"/>
        <w:pageBreakBefore w:val="0"/>
        <w:widowControl w:val="0"/>
        <w:tabs>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6.投标供应商进行网上投标请参照《政府采购项目电子交易管理操作指南</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供应商》。</w:t>
      </w:r>
    </w:p>
    <w:p w14:paraId="54330463">
      <w:pPr>
        <w:keepNext w:val="0"/>
        <w:keepLines w:val="0"/>
        <w:pageBreakBefore w:val="0"/>
        <w:widowControl w:val="0"/>
        <w:tabs>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7.因投标供应商原因造成投标文件未解密的，视为撤销其投标文件，部分投标文件未解密的，其他投标文件的开标可以继续进行。</w:t>
      </w:r>
    </w:p>
    <w:p w14:paraId="244A5F00">
      <w:pPr>
        <w:spacing w:line="360" w:lineRule="auto"/>
        <w:ind w:firstLine="480"/>
        <w:jc w:val="both"/>
        <w:outlineLvl w:val="1"/>
        <w:rPr>
          <w:rFonts w:hint="eastAsia" w:ascii="黑体" w:hAnsi="宋体" w:eastAsia="黑体" w:cs="Times New Roman"/>
          <w:bCs/>
          <w:color w:val="auto"/>
          <w:sz w:val="24"/>
          <w:szCs w:val="24"/>
          <w:highlight w:val="none"/>
          <w:lang w:val="en-US" w:eastAsia="zh-CN"/>
        </w:rPr>
      </w:pPr>
      <w:r>
        <w:rPr>
          <w:rFonts w:hint="eastAsia" w:ascii="黑体" w:hAnsi="宋体" w:eastAsia="黑体" w:cs="Times New Roman"/>
          <w:bCs/>
          <w:color w:val="auto"/>
          <w:sz w:val="24"/>
          <w:szCs w:val="24"/>
          <w:highlight w:val="none"/>
          <w:lang w:val="en-US" w:eastAsia="zh-CN"/>
        </w:rPr>
        <w:t>（九）无效投标文件的确认：</w:t>
      </w:r>
    </w:p>
    <w:p w14:paraId="216ABBEE">
      <w:pPr>
        <w:keepNext w:val="0"/>
        <w:keepLines w:val="0"/>
        <w:pageBreakBefore w:val="0"/>
        <w:widowControl w:val="0"/>
        <w:tabs>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投标供应商有下列情况之一者，投标文件无效：</w:t>
      </w:r>
    </w:p>
    <w:p w14:paraId="22A550DD">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1.未按规定在江苏省政府采购（苏采云）平台注册的；</w:t>
      </w:r>
    </w:p>
    <w:p w14:paraId="726E744E">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2.电子投标文件未按规定期限投标的，纸质投标文件（如有）未按规定的期限、地点送达的；</w:t>
      </w:r>
    </w:p>
    <w:p w14:paraId="495F845A">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3.电子投标文件未按招标文件要求签章的；</w:t>
      </w:r>
    </w:p>
    <w:p w14:paraId="7679F5F2">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4.投标供应商未按招标文件要求解密电子投标文件的；</w:t>
      </w:r>
    </w:p>
    <w:p w14:paraId="6ED40947">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5.投标供应商的法定代表人授权代表，无法定代表人授权委托书的；</w:t>
      </w:r>
    </w:p>
    <w:p w14:paraId="329AD6CD">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6.不具备招标文件中规定的资格要求或未按招标文件规定的要求提供资格、资信证明文件的；</w:t>
      </w:r>
    </w:p>
    <w:p w14:paraId="21D74E5D">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7.被“信用中国”网站（www.creditchina.gov.cn）、中国政府采购网</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列入失信被执行人、重大税收违法案件当事人名单、政府采购严重违法失信行为记录名单的；</w:t>
      </w:r>
    </w:p>
    <w:p w14:paraId="5A91B30C">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8.投标文件未按招标文件规定的内容和要求填写的；没有在投标系统指定位置上传对应文件、材料的；</w:t>
      </w:r>
    </w:p>
    <w:p w14:paraId="7E048664">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9.电子投标文件图片、字迹模糊不清、无法辨认的；</w:t>
      </w:r>
    </w:p>
    <w:p w14:paraId="1AB028C4">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10.投标文件中有招标文件未允许提供的选择性内容；</w:t>
      </w:r>
    </w:p>
    <w:p w14:paraId="447D7AC1">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11.不同投标供应商委托同一单位或者个人办理投标事宜的；</w:t>
      </w:r>
    </w:p>
    <w:p w14:paraId="733CE4CB">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12.不同投标供应商的单位负责人为同一人或者存在直接控股、管理关系的；</w:t>
      </w:r>
    </w:p>
    <w:p w14:paraId="0B23219B">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13.不同投标供应商的投标文件的上传形式、目录序号、排版格式、文字风格等存在明显的相似性或一致性，特征显示由同一单位或者同一个人编制的；</w:t>
      </w:r>
    </w:p>
    <w:p w14:paraId="091FD4BA">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14.不同投标供应商投标文件内容存在非正常一致、项目组成员出现同一人、投标文件中错误（或异常）一致或雷同、电子文档信息一致或雷同的、投标报价呈规律性差异的；</w:t>
      </w:r>
    </w:p>
    <w:p w14:paraId="57C3A39B">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15.不同投标供应商的投标资料相互混装、不同投标供应商的委托代理人、项目负责人以及其他相关人员有在同一个单位缴纳社会保险、同一投标文件中单位名称落款与公章不是同一单位的；</w:t>
      </w:r>
    </w:p>
    <w:p w14:paraId="211176CB">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16.项目（标段）投标总价超过本项目（标段）预算或最高限价的；</w:t>
      </w:r>
    </w:p>
    <w:p w14:paraId="1680DC4C">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17.提供虚假材料的（包括工商营业执照、财务报表、资格证明文件等）；</w:t>
      </w:r>
    </w:p>
    <w:p w14:paraId="38300FDA">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18.投标文件含有采购人不能接受的附加条件的；</w:t>
      </w:r>
    </w:p>
    <w:p w14:paraId="2E28DCFA">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评标委员会认定投标供应商的报价明显低于其他通过符合性审查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p>
    <w:p w14:paraId="6FFA8C9C">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20.除单一来源采购项目外，为采购项目提供整体设计、规范编制或者项目管理、监理、检测等服务的；</w:t>
      </w:r>
    </w:p>
    <w:p w14:paraId="034FBD10">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21.投标文件内容不全或不符合招标文件中规定</w:t>
      </w:r>
      <w:r>
        <w:rPr>
          <w:rFonts w:hint="eastAsia" w:ascii="宋体" w:hAnsi="宋体" w:cs="宋体"/>
          <w:bCs/>
          <w:color w:val="auto"/>
          <w:sz w:val="24"/>
          <w:szCs w:val="24"/>
          <w:highlight w:val="none"/>
          <w:lang w:eastAsia="zh-CN"/>
        </w:rPr>
        <w:t>的其他</w:t>
      </w:r>
      <w:r>
        <w:rPr>
          <w:rFonts w:hint="eastAsia" w:ascii="宋体" w:hAnsi="宋体" w:eastAsia="宋体" w:cs="宋体"/>
          <w:bCs/>
          <w:color w:val="auto"/>
          <w:sz w:val="24"/>
          <w:szCs w:val="24"/>
          <w:highlight w:val="none"/>
        </w:rPr>
        <w:t>实质性要求的；</w:t>
      </w:r>
    </w:p>
    <w:p w14:paraId="2FBD0ED6">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22.法律法规和招标文件规定</w:t>
      </w:r>
      <w:r>
        <w:rPr>
          <w:rFonts w:hint="eastAsia" w:ascii="宋体" w:hAnsi="宋体" w:cs="宋体"/>
          <w:bCs/>
          <w:color w:val="auto"/>
          <w:sz w:val="24"/>
          <w:szCs w:val="24"/>
          <w:highlight w:val="none"/>
          <w:lang w:eastAsia="zh-CN"/>
        </w:rPr>
        <w:t>的其他</w:t>
      </w:r>
      <w:r>
        <w:rPr>
          <w:rFonts w:hint="eastAsia" w:ascii="宋体" w:hAnsi="宋体" w:eastAsia="宋体" w:cs="宋体"/>
          <w:bCs/>
          <w:color w:val="auto"/>
          <w:sz w:val="24"/>
          <w:szCs w:val="24"/>
          <w:highlight w:val="none"/>
        </w:rPr>
        <w:t>无效情形。</w:t>
      </w:r>
    </w:p>
    <w:p w14:paraId="025F7A69">
      <w:pPr>
        <w:spacing w:line="360" w:lineRule="auto"/>
        <w:ind w:firstLine="480"/>
        <w:jc w:val="both"/>
        <w:outlineLvl w:val="1"/>
        <w:rPr>
          <w:rFonts w:hint="eastAsia" w:ascii="黑体" w:hAnsi="宋体" w:eastAsia="黑体" w:cs="Times New Roman"/>
          <w:bCs/>
          <w:color w:val="auto"/>
          <w:sz w:val="24"/>
          <w:szCs w:val="24"/>
          <w:highlight w:val="none"/>
          <w:lang w:val="en-US" w:eastAsia="zh-CN"/>
        </w:rPr>
      </w:pPr>
      <w:r>
        <w:rPr>
          <w:rFonts w:hint="eastAsia" w:ascii="黑体" w:hAnsi="宋体" w:eastAsia="黑体" w:cs="Times New Roman"/>
          <w:bCs/>
          <w:color w:val="auto"/>
          <w:sz w:val="24"/>
          <w:szCs w:val="24"/>
          <w:highlight w:val="none"/>
          <w:lang w:val="en-US" w:eastAsia="zh-CN"/>
        </w:rPr>
        <w:t>（十）开标、评标：</w:t>
      </w:r>
    </w:p>
    <w:p w14:paraId="41A15FB6">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eastAsia="宋体" w:cs="宋体"/>
          <w:bCs/>
          <w:color w:val="auto"/>
          <w:sz w:val="24"/>
          <w:szCs w:val="24"/>
          <w:highlight w:val="none"/>
        </w:rPr>
        <w:t>所有投标单位在招标文件规定的时间内解密各自投标文件；</w:t>
      </w:r>
    </w:p>
    <w:p w14:paraId="7F7829E4">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eastAsia="宋体" w:cs="宋体"/>
          <w:bCs/>
          <w:color w:val="auto"/>
          <w:sz w:val="24"/>
          <w:szCs w:val="24"/>
          <w:highlight w:val="none"/>
        </w:rPr>
        <w:t>投标截止时间后参加投标的供应商或解密投标文件的供应商不足三家的，不开标；开标后，所有投标供应商可在线上开标大厅中看到所有投标供应商的投标报价；</w:t>
      </w:r>
    </w:p>
    <w:p w14:paraId="1271E660">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eastAsia="宋体" w:cs="宋体"/>
          <w:bCs/>
          <w:color w:val="auto"/>
          <w:sz w:val="24"/>
          <w:szCs w:val="24"/>
          <w:highlight w:val="none"/>
        </w:rPr>
        <w:t>开标时，投标文件报价出现前后不一致的，按照下列规定修正：</w:t>
      </w:r>
    </w:p>
    <w:p w14:paraId="0CA2E5C7">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（一）投标文件中开标一览表（报价表）内容与投标文件中相应内容不一致的，以开标一览表（报价表）为准；</w:t>
      </w:r>
    </w:p>
    <w:p w14:paraId="2DFA7486">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（二）大写金额和小写金额不一致的，以大写金额为准；</w:t>
      </w:r>
    </w:p>
    <w:p w14:paraId="06D0EFA6">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（三）单价金额小数点或者百分比有明显错位的，以开标一览表的总价为准，并修改单价；</w:t>
      </w:r>
    </w:p>
    <w:p w14:paraId="2D79091B">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（四）总价金额与按单价汇总金额不一致的，以单价金额计算结果为准。</w:t>
      </w:r>
    </w:p>
    <w:p w14:paraId="4A000AD1">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不一致的，按照前款规定的顺序修正。修正后的报价评标委员会应当以书面形式要求投标供应商作出必要的澄清、说明或者补正，经投标供应商确认后产生约束力，投标供应商不确认的，其投标无效。</w:t>
      </w:r>
    </w:p>
    <w:p w14:paraId="4005A8B8">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宋体" w:hAnsi="宋体" w:eastAsia="宋体" w:cs="宋体"/>
          <w:bCs/>
          <w:color w:val="auto"/>
          <w:sz w:val="24"/>
          <w:szCs w:val="24"/>
          <w:highlight w:val="none"/>
        </w:rPr>
        <w:t>电子投标文件与纸质投标文件（如有）不符的，以电子投标文件为准。</w:t>
      </w:r>
    </w:p>
    <w:p w14:paraId="77BA1AD3">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5.</w:t>
      </w:r>
      <w:r>
        <w:rPr>
          <w:rFonts w:hint="eastAsia" w:ascii="宋体" w:hAnsi="宋体" w:eastAsia="宋体" w:cs="宋体"/>
          <w:bCs/>
          <w:color w:val="auto"/>
          <w:sz w:val="24"/>
          <w:szCs w:val="24"/>
          <w:highlight w:val="none"/>
        </w:rPr>
        <w:t>投标供应商未参加开标的，视同认可开标结果。</w:t>
      </w:r>
    </w:p>
    <w:p w14:paraId="1870DBAA">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6.</w:t>
      </w:r>
      <w:r>
        <w:rPr>
          <w:rFonts w:hint="eastAsia" w:ascii="宋体" w:hAnsi="宋体" w:eastAsia="宋体" w:cs="宋体"/>
          <w:bCs/>
          <w:color w:val="auto"/>
          <w:sz w:val="24"/>
          <w:szCs w:val="24"/>
          <w:highlight w:val="none"/>
        </w:rPr>
        <w:t>评审委员会启动异常低价投标审查的情形和具体要求，包括：</w:t>
      </w:r>
    </w:p>
    <w:p w14:paraId="7B891B27">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（一）评审过程中出现下列情形之一的，评审委员会应当启动异常低价投标审查程序：</w:t>
      </w:r>
    </w:p>
    <w:p w14:paraId="358A4DC6">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①投标报价低于采购项目预算50%的，即投标报价</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采购项目预算×50%；</w:t>
      </w:r>
    </w:p>
    <w:p w14:paraId="240B712B">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②投标报价低于采购项目最高限价45%的，即投标报价</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采购项目最高限价×45%；</w:t>
      </w:r>
    </w:p>
    <w:p w14:paraId="6A551904">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③评审委员会认定的供应商报价过低、有可能影响产品质量或者不能诚信履约的其他情形。</w:t>
      </w:r>
    </w:p>
    <w:p w14:paraId="1A62AA6D">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（二）启动异常低价投标审查后，评审委员会应当要求相关供应商在评标现场合理的时间（半小时）内，提供项目具体成本测算等与报价合理性相关的书面说明及相关证明材料</w:t>
      </w:r>
      <w:r>
        <w:rPr>
          <w:rFonts w:hint="eastAsia" w:ascii="宋体" w:hAnsi="宋体" w:cs="宋体"/>
          <w:bCs/>
          <w:color w:val="auto"/>
          <w:sz w:val="24"/>
          <w:szCs w:val="24"/>
          <w:highlight w:val="none"/>
          <w:lang w:eastAsia="zh-CN"/>
        </w:rPr>
        <w:t>，并</w:t>
      </w:r>
      <w:r>
        <w:rPr>
          <w:rFonts w:hint="eastAsia" w:ascii="宋体" w:hAnsi="宋体" w:eastAsia="宋体" w:cs="宋体"/>
          <w:bCs/>
          <w:color w:val="auto"/>
          <w:sz w:val="24"/>
          <w:szCs w:val="24"/>
          <w:highlight w:val="none"/>
        </w:rPr>
        <w:t>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p>
    <w:p w14:paraId="0DF07DB9">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评标程序</w:t>
      </w:r>
    </w:p>
    <w:p w14:paraId="4FB7E151">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评标工作由</w:t>
      </w:r>
      <w:r>
        <w:rPr>
          <w:rFonts w:hint="eastAsia" w:ascii="宋体" w:hAnsi="宋体" w:cs="宋体"/>
          <w:bCs/>
          <w:color w:val="auto"/>
          <w:sz w:val="24"/>
          <w:szCs w:val="24"/>
          <w:highlight w:val="none"/>
          <w:lang w:eastAsia="zh-CN"/>
        </w:rPr>
        <w:t>无锡彰誉技术咨询有限公司</w:t>
      </w:r>
      <w:r>
        <w:rPr>
          <w:rFonts w:hint="eastAsia" w:ascii="宋体" w:hAnsi="宋体" w:eastAsia="宋体" w:cs="宋体"/>
          <w:bCs/>
          <w:color w:val="auto"/>
          <w:sz w:val="24"/>
          <w:szCs w:val="24"/>
          <w:highlight w:val="none"/>
        </w:rPr>
        <w:t>负责组织，具体评标事务由依法组建的评标委员会负责。</w:t>
      </w:r>
    </w:p>
    <w:p w14:paraId="36F2EBE6">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（1）投标文件初审。初审分为资格性检查和符合性检查。</w:t>
      </w:r>
    </w:p>
    <w:p w14:paraId="4AC17F37">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①资格性检查。采购人依据法律法规和招标文件的规定，对投标文件中的资格证明、投标（报价）承诺函等进行审查；通过“信用中国”网站（www.creditchina.gov.cn）、中国政府采购网</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736069CB">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②符合性检查。评标委员会依据招标文件的规定，从投标文件的有效性、完整性和对招标文件的响应程度进行审查，以确定是否对招标文件的实质性要求作出响应。</w:t>
      </w:r>
    </w:p>
    <w:p w14:paraId="1EFC6297">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pacing w:val="0"/>
          <w:sz w:val="24"/>
          <w:szCs w:val="24"/>
          <w:highlight w:val="none"/>
        </w:rPr>
      </w:pPr>
      <w:r>
        <w:rPr>
          <w:rFonts w:hint="eastAsia" w:ascii="宋体" w:hAnsi="宋体" w:eastAsia="宋体" w:cs="宋体"/>
          <w:bCs/>
          <w:color w:val="auto"/>
          <w:sz w:val="24"/>
          <w:szCs w:val="24"/>
          <w:highlight w:val="none"/>
        </w:rPr>
        <w:t>（2）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w:t>
      </w:r>
      <w:r>
        <w:rPr>
          <w:rFonts w:hint="eastAsia" w:ascii="宋体" w:hAnsi="宋体" w:eastAsia="宋体" w:cs="宋体"/>
          <w:bCs/>
          <w:color w:val="auto"/>
          <w:spacing w:val="0"/>
          <w:sz w:val="24"/>
          <w:szCs w:val="24"/>
          <w:highlight w:val="none"/>
        </w:rPr>
        <w:t>盖电子公章，且不得超出投标文件的范围或者改变投标文件的实质性内容。</w:t>
      </w:r>
    </w:p>
    <w:p w14:paraId="472C4AB1">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（3）比较与评价。按招标文件中规定的评标方法和标准，对资格性检查和符合性检查合格的投标文件进行商务和技术评估，综合比较与评价。</w:t>
      </w:r>
    </w:p>
    <w:p w14:paraId="4F6E42A6">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pacing w:val="0"/>
          <w:sz w:val="24"/>
          <w:szCs w:val="24"/>
          <w:highlight w:val="none"/>
        </w:rPr>
      </w:pPr>
      <w:r>
        <w:rPr>
          <w:rFonts w:hint="eastAsia" w:ascii="宋体" w:hAnsi="宋体" w:cs="宋体"/>
          <w:bCs/>
          <w:color w:val="auto"/>
          <w:spacing w:val="0"/>
          <w:sz w:val="24"/>
          <w:szCs w:val="24"/>
          <w:highlight w:val="none"/>
          <w:lang w:val="en-US" w:eastAsia="zh-CN"/>
        </w:rPr>
        <w:t>8.</w:t>
      </w:r>
      <w:r>
        <w:rPr>
          <w:rFonts w:hint="eastAsia" w:ascii="宋体" w:hAnsi="宋体" w:eastAsia="宋体" w:cs="宋体"/>
          <w:bCs/>
          <w:color w:val="auto"/>
          <w:spacing w:val="0"/>
          <w:sz w:val="24"/>
          <w:szCs w:val="24"/>
          <w:highlight w:val="none"/>
        </w:rPr>
        <w:t>评标方法</w:t>
      </w:r>
    </w:p>
    <w:p w14:paraId="17FDFC66">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投标供应商通过初审的，方可进入比较与评价程序。</w:t>
      </w:r>
    </w:p>
    <w:p w14:paraId="057EEF51">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比较与评价采用综合评分法。</w:t>
      </w:r>
    </w:p>
    <w:p w14:paraId="2F95EB85">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p>
    <w:p w14:paraId="0EA64CFD">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pacing w:val="0"/>
          <w:sz w:val="24"/>
          <w:szCs w:val="24"/>
          <w:highlight w:val="none"/>
        </w:rPr>
      </w:pPr>
      <w:r>
        <w:rPr>
          <w:rFonts w:hint="eastAsia" w:ascii="宋体" w:hAnsi="宋体" w:cs="宋体"/>
          <w:bCs/>
          <w:color w:val="auto"/>
          <w:spacing w:val="0"/>
          <w:sz w:val="24"/>
          <w:szCs w:val="24"/>
          <w:highlight w:val="none"/>
          <w:lang w:val="en-US" w:eastAsia="zh-CN"/>
        </w:rPr>
        <w:t>9.</w:t>
      </w:r>
      <w:r>
        <w:rPr>
          <w:rFonts w:hint="eastAsia" w:ascii="宋体" w:hAnsi="宋体" w:eastAsia="宋体" w:cs="宋体"/>
          <w:bCs/>
          <w:color w:val="auto"/>
          <w:spacing w:val="0"/>
          <w:sz w:val="24"/>
          <w:szCs w:val="24"/>
          <w:highlight w:val="none"/>
        </w:rPr>
        <w:t>评分标准</w:t>
      </w:r>
    </w:p>
    <w:p w14:paraId="1C02F5A8">
      <w:pPr>
        <w:keepNext w:val="0"/>
        <w:keepLines w:val="0"/>
        <w:pageBreakBefore w:val="0"/>
        <w:widowControl w:val="0"/>
        <w:tabs>
          <w:tab w:val="left" w:pos="525"/>
          <w:tab w:val="left" w:pos="945"/>
        </w:tabs>
        <w:spacing w:line="360" w:lineRule="auto"/>
        <w:ind w:left="0" w:firstLine="480"/>
        <w:jc w:val="both"/>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详见附件。</w:t>
      </w:r>
    </w:p>
    <w:p w14:paraId="2E3D42B0">
      <w:pPr>
        <w:spacing w:line="360" w:lineRule="auto"/>
        <w:ind w:firstLine="480"/>
        <w:jc w:val="both"/>
        <w:outlineLvl w:val="1"/>
        <w:rPr>
          <w:rFonts w:hint="eastAsia" w:ascii="黑体" w:hAnsi="宋体" w:eastAsia="黑体" w:cs="Times New Roman"/>
          <w:bCs/>
          <w:color w:val="auto"/>
          <w:spacing w:val="0"/>
          <w:sz w:val="24"/>
          <w:szCs w:val="24"/>
          <w:highlight w:val="none"/>
          <w:lang w:val="en-US" w:eastAsia="zh-CN"/>
        </w:rPr>
      </w:pPr>
      <w:r>
        <w:rPr>
          <w:rFonts w:hint="eastAsia" w:ascii="黑体" w:hAnsi="宋体" w:eastAsia="黑体" w:cs="Times New Roman"/>
          <w:bCs/>
          <w:color w:val="auto"/>
          <w:spacing w:val="0"/>
          <w:sz w:val="24"/>
          <w:szCs w:val="24"/>
          <w:highlight w:val="none"/>
          <w:lang w:val="en-US" w:eastAsia="zh-CN"/>
        </w:rPr>
        <w:t>（十一）定标：</w:t>
      </w:r>
    </w:p>
    <w:p w14:paraId="10B30E22">
      <w:pPr>
        <w:keepNext w:val="0"/>
        <w:keepLines w:val="0"/>
        <w:pageBreakBefore w:val="0"/>
        <w:widowControl w:val="0"/>
        <w:spacing w:line="360" w:lineRule="auto"/>
        <w:ind w:left="0" w:firstLine="480"/>
        <w:jc w:val="both"/>
        <w:outlineLvl w:val="9"/>
        <w:rPr>
          <w:rFonts w:hint="eastAsia" w:ascii="宋体" w:hAnsi="宋体" w:eastAsia="宋体" w:cs="宋体"/>
          <w:bCs/>
          <w:color w:val="auto"/>
          <w:spacing w:val="0"/>
          <w:sz w:val="24"/>
          <w:szCs w:val="24"/>
          <w:highlight w:val="none"/>
        </w:rPr>
      </w:pPr>
      <w:r>
        <w:rPr>
          <w:rFonts w:hint="eastAsia" w:ascii="宋体" w:hAnsi="宋体" w:cs="宋体"/>
          <w:bCs/>
          <w:color w:val="auto"/>
          <w:spacing w:val="0"/>
          <w:sz w:val="24"/>
          <w:szCs w:val="24"/>
          <w:highlight w:val="none"/>
          <w:lang w:eastAsia="zh-CN"/>
        </w:rPr>
        <w:t>1.</w:t>
      </w:r>
      <w:r>
        <w:rPr>
          <w:rFonts w:hint="eastAsia" w:ascii="宋体" w:hAnsi="宋体" w:eastAsia="宋体" w:cs="宋体"/>
          <w:bCs/>
          <w:color w:val="auto"/>
          <w:spacing w:val="0"/>
          <w:sz w:val="24"/>
          <w:szCs w:val="24"/>
          <w:highlight w:val="none"/>
        </w:rPr>
        <w:t>评标委员会根据招标文件规定的评标方法和评标标准进行评审，按招标文件的要求依法确定中标供应商。</w:t>
      </w:r>
      <w:r>
        <w:rPr>
          <w:rFonts w:hint="eastAsia" w:ascii="宋体" w:hAnsi="宋体" w:cs="宋体"/>
          <w:bCs/>
          <w:color w:val="auto"/>
          <w:spacing w:val="0"/>
          <w:sz w:val="24"/>
          <w:szCs w:val="24"/>
          <w:highlight w:val="none"/>
          <w:lang w:eastAsia="zh-CN"/>
        </w:rPr>
        <w:t>无锡彰誉技术咨询有限公司</w:t>
      </w:r>
      <w:r>
        <w:rPr>
          <w:rFonts w:hint="eastAsia" w:ascii="宋体" w:hAnsi="宋体" w:eastAsia="宋体" w:cs="宋体"/>
          <w:bCs/>
          <w:color w:val="auto"/>
          <w:spacing w:val="0"/>
          <w:sz w:val="24"/>
          <w:szCs w:val="24"/>
          <w:highlight w:val="none"/>
        </w:rPr>
        <w:t>将在江苏政府采购网发布中标公告。如有质疑，应在法定质疑期限内，即中标公告期限届满之日起7个工作日内，以书面形式（原件）送达</w:t>
      </w:r>
      <w:r>
        <w:rPr>
          <w:rFonts w:hint="eastAsia" w:ascii="宋体" w:hAnsi="宋体" w:cs="宋体"/>
          <w:bCs/>
          <w:color w:val="auto"/>
          <w:spacing w:val="0"/>
          <w:sz w:val="24"/>
          <w:szCs w:val="24"/>
          <w:highlight w:val="none"/>
          <w:lang w:eastAsia="zh-CN"/>
        </w:rPr>
        <w:t>无锡彰誉技术咨询有限公司</w:t>
      </w:r>
      <w:r>
        <w:rPr>
          <w:rFonts w:hint="eastAsia" w:ascii="宋体" w:hAnsi="宋体" w:eastAsia="宋体" w:cs="宋体"/>
          <w:bCs/>
          <w:color w:val="auto"/>
          <w:spacing w:val="0"/>
          <w:sz w:val="24"/>
          <w:szCs w:val="24"/>
          <w:highlight w:val="none"/>
        </w:rPr>
        <w:t>，并且针对同一采购程序环节的质疑，须在法定质疑期内一次性提出。质疑函的质疑事项应具体、明确，并有必要的事实依据和法律依据（格式详见中国政府采购网《政府采购供应商质疑函范本》）。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cs="宋体"/>
          <w:bCs/>
          <w:color w:val="auto"/>
          <w:spacing w:val="0"/>
          <w:sz w:val="24"/>
          <w:szCs w:val="24"/>
          <w:highlight w:val="none"/>
          <w:lang w:eastAsia="zh-CN"/>
        </w:rPr>
        <w:t>无锡彰誉技术咨询有限公司</w:t>
      </w:r>
      <w:r>
        <w:rPr>
          <w:rFonts w:hint="eastAsia" w:ascii="宋体" w:hAnsi="宋体" w:eastAsia="宋体" w:cs="宋体"/>
          <w:bCs/>
          <w:color w:val="auto"/>
          <w:spacing w:val="0"/>
          <w:sz w:val="24"/>
          <w:szCs w:val="24"/>
          <w:highlight w:val="none"/>
        </w:rPr>
        <w:t>将在收到符合上述要求的书面质疑后七个工作日内，对质疑内容</w:t>
      </w:r>
      <w:r>
        <w:rPr>
          <w:rFonts w:hint="eastAsia" w:ascii="宋体" w:hAnsi="宋体" w:cs="宋体"/>
          <w:bCs/>
          <w:color w:val="auto"/>
          <w:spacing w:val="0"/>
          <w:sz w:val="24"/>
          <w:szCs w:val="24"/>
          <w:highlight w:val="none"/>
          <w:lang w:eastAsia="zh-CN"/>
        </w:rPr>
        <w:t>作出</w:t>
      </w:r>
      <w:r>
        <w:rPr>
          <w:rFonts w:hint="eastAsia" w:ascii="宋体" w:hAnsi="宋体" w:eastAsia="宋体" w:cs="宋体"/>
          <w:bCs/>
          <w:color w:val="auto"/>
          <w:spacing w:val="0"/>
          <w:sz w:val="24"/>
          <w:szCs w:val="24"/>
          <w:highlight w:val="none"/>
        </w:rPr>
        <w:t>答复。投标供应商在法定质疑期限外送达的质疑函或法定质疑期限内送达的质疑函不符合上述要求的均为无效质疑，</w:t>
      </w:r>
      <w:r>
        <w:rPr>
          <w:rFonts w:hint="eastAsia" w:ascii="宋体" w:hAnsi="宋体" w:cs="宋体"/>
          <w:bCs/>
          <w:color w:val="auto"/>
          <w:spacing w:val="0"/>
          <w:sz w:val="24"/>
          <w:szCs w:val="24"/>
          <w:highlight w:val="none"/>
          <w:lang w:eastAsia="zh-CN"/>
        </w:rPr>
        <w:t>无锡彰誉技术咨询有限公司</w:t>
      </w:r>
      <w:r>
        <w:rPr>
          <w:rFonts w:hint="eastAsia" w:ascii="宋体" w:hAnsi="宋体" w:eastAsia="宋体" w:cs="宋体"/>
          <w:bCs/>
          <w:color w:val="auto"/>
          <w:spacing w:val="0"/>
          <w:sz w:val="24"/>
          <w:szCs w:val="24"/>
          <w:highlight w:val="none"/>
        </w:rPr>
        <w:t>对无效质疑不予受理。如质疑查无实据或投标供应商捏造事实，提供虚假材料进行恶意举报，不配合或采用不正当手段干扰政府采购质疑的，将记入投标供应商在江苏省的政府采购“供应商诚信记录”，并按相关规定处理。</w:t>
      </w:r>
    </w:p>
    <w:p w14:paraId="0DA28420">
      <w:pPr>
        <w:keepNext w:val="0"/>
        <w:keepLines w:val="0"/>
        <w:pageBreakBefore w:val="0"/>
        <w:widowControl w:val="0"/>
        <w:spacing w:line="360" w:lineRule="auto"/>
        <w:ind w:left="0" w:firstLine="480"/>
        <w:jc w:val="both"/>
        <w:outlineLvl w:val="9"/>
        <w:rPr>
          <w:rFonts w:hint="eastAsia" w:ascii="宋体" w:hAnsi="宋体" w:eastAsia="宋体" w:cs="宋体"/>
          <w:bCs/>
          <w:color w:val="auto"/>
          <w:spacing w:val="0"/>
          <w:sz w:val="24"/>
          <w:szCs w:val="24"/>
          <w:highlight w:val="none"/>
        </w:rPr>
      </w:pPr>
      <w:r>
        <w:rPr>
          <w:rFonts w:hint="eastAsia" w:ascii="宋体" w:hAnsi="宋体" w:cs="宋体"/>
          <w:bCs/>
          <w:color w:val="auto"/>
          <w:spacing w:val="0"/>
          <w:sz w:val="24"/>
          <w:szCs w:val="24"/>
          <w:highlight w:val="none"/>
          <w:lang w:eastAsia="zh-CN"/>
        </w:rPr>
        <w:t>2.无锡彰誉技术咨询有限公司</w:t>
      </w:r>
      <w:r>
        <w:rPr>
          <w:rFonts w:hint="eastAsia" w:ascii="宋体" w:hAnsi="宋体" w:eastAsia="宋体" w:cs="宋体"/>
          <w:bCs/>
          <w:color w:val="auto"/>
          <w:spacing w:val="0"/>
          <w:sz w:val="24"/>
          <w:szCs w:val="24"/>
          <w:highlight w:val="none"/>
        </w:rPr>
        <w:t>向中标供应商</w:t>
      </w:r>
      <w:r>
        <w:rPr>
          <w:rFonts w:hint="eastAsia" w:ascii="宋体" w:hAnsi="宋体" w:cs="宋体"/>
          <w:bCs/>
          <w:color w:val="auto"/>
          <w:spacing w:val="0"/>
          <w:sz w:val="24"/>
          <w:szCs w:val="24"/>
          <w:highlight w:val="none"/>
          <w:lang w:eastAsia="zh-CN"/>
        </w:rPr>
        <w:t>发出</w:t>
      </w:r>
      <w:r>
        <w:rPr>
          <w:rFonts w:hint="eastAsia" w:ascii="宋体" w:hAnsi="宋体" w:eastAsia="宋体" w:cs="宋体"/>
          <w:bCs/>
          <w:color w:val="auto"/>
          <w:spacing w:val="0"/>
          <w:sz w:val="24"/>
          <w:szCs w:val="24"/>
          <w:highlight w:val="none"/>
        </w:rPr>
        <w:t>中标通知书。</w:t>
      </w:r>
    </w:p>
    <w:p w14:paraId="0DF93FFA">
      <w:pPr>
        <w:keepNext w:val="0"/>
        <w:keepLines w:val="0"/>
        <w:pageBreakBefore w:val="0"/>
        <w:widowControl w:val="0"/>
        <w:spacing w:line="360" w:lineRule="auto"/>
        <w:ind w:left="0" w:firstLine="480"/>
        <w:jc w:val="both"/>
        <w:outlineLvl w:val="9"/>
        <w:rPr>
          <w:rFonts w:hint="eastAsia" w:ascii="宋体" w:hAnsi="宋体" w:eastAsia="宋体" w:cs="宋体"/>
          <w:bCs/>
          <w:color w:val="auto"/>
          <w:spacing w:val="0"/>
          <w:sz w:val="24"/>
          <w:szCs w:val="24"/>
          <w:highlight w:val="none"/>
        </w:rPr>
      </w:pPr>
      <w:r>
        <w:rPr>
          <w:rFonts w:hint="eastAsia" w:ascii="宋体" w:hAnsi="宋体" w:cs="宋体"/>
          <w:bCs/>
          <w:color w:val="auto"/>
          <w:spacing w:val="0"/>
          <w:sz w:val="24"/>
          <w:szCs w:val="24"/>
          <w:highlight w:val="none"/>
          <w:lang w:eastAsia="zh-CN"/>
        </w:rPr>
        <w:t>3.</w:t>
      </w:r>
      <w:r>
        <w:rPr>
          <w:rFonts w:hint="eastAsia" w:ascii="宋体" w:hAnsi="宋体" w:eastAsia="宋体" w:cs="宋体"/>
          <w:bCs/>
          <w:color w:val="auto"/>
          <w:spacing w:val="0"/>
          <w:sz w:val="24"/>
          <w:szCs w:val="24"/>
          <w:highlight w:val="none"/>
        </w:rPr>
        <w:t>投标供应商电子投标文件将作为电子档案保存。</w:t>
      </w:r>
    </w:p>
    <w:p w14:paraId="400F1498">
      <w:pPr>
        <w:spacing w:line="360" w:lineRule="auto"/>
        <w:ind w:firstLine="480"/>
        <w:jc w:val="both"/>
        <w:outlineLvl w:val="1"/>
        <w:rPr>
          <w:rFonts w:hint="eastAsia" w:ascii="黑体" w:hAnsi="宋体" w:eastAsia="黑体" w:cs="Times New Roman"/>
          <w:bCs/>
          <w:color w:val="auto"/>
          <w:spacing w:val="0"/>
          <w:sz w:val="24"/>
          <w:szCs w:val="24"/>
          <w:highlight w:val="none"/>
          <w:lang w:val="en-US" w:eastAsia="zh-CN"/>
        </w:rPr>
      </w:pPr>
      <w:r>
        <w:rPr>
          <w:rFonts w:hint="eastAsia" w:ascii="黑体" w:hAnsi="宋体" w:eastAsia="黑体" w:cs="Times New Roman"/>
          <w:bCs/>
          <w:color w:val="auto"/>
          <w:spacing w:val="0"/>
          <w:sz w:val="24"/>
          <w:szCs w:val="24"/>
          <w:highlight w:val="none"/>
          <w:lang w:val="en-US" w:eastAsia="zh-CN"/>
        </w:rPr>
        <w:t>（十二）废</w:t>
      </w:r>
      <w:r>
        <w:rPr>
          <w:rFonts w:hint="eastAsia" w:ascii="黑体" w:hAnsi="宋体" w:eastAsia="黑体" w:cs="Times New Roman"/>
          <w:bCs/>
          <w:color w:val="auto"/>
          <w:sz w:val="24"/>
          <w:szCs w:val="24"/>
          <w:highlight w:val="none"/>
          <w:lang w:val="en-US" w:eastAsia="zh-CN"/>
        </w:rPr>
        <w:t>标的</w:t>
      </w:r>
      <w:r>
        <w:rPr>
          <w:rFonts w:hint="eastAsia" w:ascii="黑体" w:hAnsi="宋体" w:eastAsia="黑体" w:cs="Times New Roman"/>
          <w:bCs/>
          <w:color w:val="auto"/>
          <w:spacing w:val="0"/>
          <w:sz w:val="24"/>
          <w:szCs w:val="24"/>
          <w:highlight w:val="none"/>
          <w:lang w:val="en-US" w:eastAsia="zh-CN"/>
        </w:rPr>
        <w:t>确认：</w:t>
      </w:r>
    </w:p>
    <w:p w14:paraId="62464309">
      <w:pPr>
        <w:keepNext w:val="0"/>
        <w:keepLines w:val="0"/>
        <w:pageBreakBefore w:val="0"/>
        <w:widowControl w:val="0"/>
        <w:spacing w:line="360" w:lineRule="auto"/>
        <w:ind w:left="0" w:firstLine="480"/>
        <w:jc w:val="both"/>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在招标采购中，出现下列情况之一的，应予废标：</w:t>
      </w:r>
    </w:p>
    <w:p w14:paraId="07137DFF">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pacing w:val="0"/>
          <w:sz w:val="24"/>
          <w:szCs w:val="24"/>
          <w:highlight w:val="none"/>
        </w:rPr>
      </w:pPr>
      <w:r>
        <w:rPr>
          <w:rFonts w:hint="eastAsia" w:ascii="宋体" w:hAnsi="宋体" w:cs="宋体"/>
          <w:bCs/>
          <w:color w:val="auto"/>
          <w:spacing w:val="0"/>
          <w:sz w:val="24"/>
          <w:szCs w:val="24"/>
          <w:highlight w:val="none"/>
          <w:lang w:eastAsia="zh-CN"/>
        </w:rPr>
        <w:t>1.</w:t>
      </w:r>
      <w:r>
        <w:rPr>
          <w:rFonts w:hint="eastAsia" w:ascii="宋体" w:hAnsi="宋体" w:eastAsia="宋体" w:cs="宋体"/>
          <w:bCs/>
          <w:color w:val="auto"/>
          <w:spacing w:val="0"/>
          <w:sz w:val="24"/>
          <w:szCs w:val="24"/>
          <w:highlight w:val="none"/>
        </w:rPr>
        <w:t>符合专业条件的投标供应商或者对招标文件作出实质性响应的投标供应商不足三家；</w:t>
      </w:r>
    </w:p>
    <w:p w14:paraId="4097691C">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pacing w:val="0"/>
          <w:sz w:val="24"/>
          <w:szCs w:val="24"/>
          <w:highlight w:val="none"/>
        </w:rPr>
      </w:pPr>
      <w:r>
        <w:rPr>
          <w:rFonts w:hint="eastAsia" w:ascii="宋体" w:hAnsi="宋体" w:cs="宋体"/>
          <w:bCs/>
          <w:color w:val="auto"/>
          <w:spacing w:val="0"/>
          <w:sz w:val="24"/>
          <w:szCs w:val="24"/>
          <w:highlight w:val="none"/>
          <w:lang w:eastAsia="zh-CN"/>
        </w:rPr>
        <w:t>2.</w:t>
      </w:r>
      <w:r>
        <w:rPr>
          <w:rFonts w:hint="eastAsia" w:ascii="宋体" w:hAnsi="宋体" w:eastAsia="宋体" w:cs="宋体"/>
          <w:bCs/>
          <w:color w:val="auto"/>
          <w:spacing w:val="0"/>
          <w:sz w:val="24"/>
          <w:szCs w:val="24"/>
          <w:highlight w:val="none"/>
        </w:rPr>
        <w:t>出现影响采购公正的违法、违规行为；</w:t>
      </w:r>
    </w:p>
    <w:p w14:paraId="2041D894">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pacing w:val="0"/>
          <w:sz w:val="24"/>
          <w:szCs w:val="24"/>
          <w:highlight w:val="none"/>
        </w:rPr>
      </w:pPr>
      <w:r>
        <w:rPr>
          <w:rFonts w:hint="eastAsia" w:ascii="宋体" w:hAnsi="宋体" w:cs="宋体"/>
          <w:bCs/>
          <w:color w:val="auto"/>
          <w:spacing w:val="0"/>
          <w:sz w:val="24"/>
          <w:szCs w:val="24"/>
          <w:highlight w:val="none"/>
          <w:lang w:eastAsia="zh-CN"/>
        </w:rPr>
        <w:t>3.</w:t>
      </w:r>
      <w:r>
        <w:rPr>
          <w:rFonts w:hint="eastAsia" w:ascii="宋体" w:hAnsi="宋体" w:eastAsia="宋体" w:cs="宋体"/>
          <w:bCs/>
          <w:color w:val="auto"/>
          <w:spacing w:val="0"/>
          <w:sz w:val="24"/>
          <w:szCs w:val="24"/>
          <w:highlight w:val="none"/>
        </w:rPr>
        <w:t>投标供应商的报价均超过采购预算，采购人不能支付的；</w:t>
      </w:r>
    </w:p>
    <w:p w14:paraId="5727CC40">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pacing w:val="0"/>
          <w:sz w:val="24"/>
          <w:szCs w:val="24"/>
          <w:highlight w:val="none"/>
        </w:rPr>
      </w:pPr>
      <w:r>
        <w:rPr>
          <w:rFonts w:hint="eastAsia" w:ascii="宋体" w:hAnsi="宋体" w:cs="宋体"/>
          <w:bCs/>
          <w:color w:val="auto"/>
          <w:spacing w:val="0"/>
          <w:sz w:val="24"/>
          <w:szCs w:val="24"/>
          <w:highlight w:val="none"/>
          <w:lang w:eastAsia="zh-CN"/>
        </w:rPr>
        <w:t>4.</w:t>
      </w:r>
      <w:r>
        <w:rPr>
          <w:rFonts w:hint="eastAsia" w:ascii="宋体" w:hAnsi="宋体" w:eastAsia="宋体" w:cs="宋体"/>
          <w:bCs/>
          <w:color w:val="auto"/>
          <w:spacing w:val="0"/>
          <w:sz w:val="24"/>
          <w:szCs w:val="24"/>
          <w:highlight w:val="none"/>
        </w:rPr>
        <w:t>因重大变故，采购任务取消。</w:t>
      </w:r>
    </w:p>
    <w:p w14:paraId="6DC95272">
      <w:pPr>
        <w:spacing w:line="360" w:lineRule="auto"/>
        <w:ind w:firstLine="480"/>
        <w:jc w:val="both"/>
        <w:outlineLvl w:val="1"/>
        <w:rPr>
          <w:rFonts w:hint="eastAsia" w:ascii="黑体" w:hAnsi="宋体" w:eastAsia="黑体" w:cs="Times New Roman"/>
          <w:bCs/>
          <w:color w:val="auto"/>
          <w:spacing w:val="0"/>
          <w:sz w:val="24"/>
          <w:szCs w:val="24"/>
          <w:highlight w:val="none"/>
          <w:lang w:val="en-US" w:eastAsia="zh-CN"/>
        </w:rPr>
      </w:pPr>
      <w:r>
        <w:rPr>
          <w:rFonts w:hint="eastAsia" w:ascii="黑体" w:hAnsi="宋体" w:eastAsia="黑体" w:cs="Times New Roman"/>
          <w:bCs/>
          <w:color w:val="auto"/>
          <w:spacing w:val="0"/>
          <w:sz w:val="24"/>
          <w:szCs w:val="24"/>
          <w:highlight w:val="none"/>
          <w:lang w:val="en-US" w:eastAsia="zh-CN"/>
        </w:rPr>
        <w:t>（十三）中标</w:t>
      </w:r>
      <w:r>
        <w:rPr>
          <w:rFonts w:hint="eastAsia" w:ascii="黑体" w:hAnsi="宋体" w:eastAsia="黑体" w:cs="Times New Roman"/>
          <w:bCs/>
          <w:color w:val="auto"/>
          <w:sz w:val="24"/>
          <w:szCs w:val="24"/>
          <w:highlight w:val="none"/>
          <w:lang w:val="en-US" w:eastAsia="zh-CN"/>
        </w:rPr>
        <w:t>无效</w:t>
      </w:r>
      <w:r>
        <w:rPr>
          <w:rFonts w:hint="eastAsia" w:ascii="黑体" w:hAnsi="宋体" w:eastAsia="黑体" w:cs="Times New Roman"/>
          <w:bCs/>
          <w:color w:val="auto"/>
          <w:spacing w:val="0"/>
          <w:sz w:val="24"/>
          <w:szCs w:val="24"/>
          <w:highlight w:val="none"/>
          <w:lang w:val="en-US" w:eastAsia="zh-CN"/>
        </w:rPr>
        <w:t>的确认：</w:t>
      </w:r>
    </w:p>
    <w:p w14:paraId="28621CA0">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（1）提供虚假材料谋取中标的；</w:t>
      </w:r>
    </w:p>
    <w:p w14:paraId="324EC834">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（2）采取不正当手段诋毁、排挤其他投标供应商的；</w:t>
      </w:r>
    </w:p>
    <w:p w14:paraId="0FFFFA1F">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（3）与招标采购单位、其他投标供应商恶意串通的；</w:t>
      </w:r>
    </w:p>
    <w:p w14:paraId="5608407B">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w:t>
      </w:r>
      <w:r>
        <w:rPr>
          <w:rFonts w:hint="eastAsia" w:ascii="宋体" w:hAnsi="宋体" w:cs="宋体"/>
          <w:bCs/>
          <w:color w:val="auto"/>
          <w:spacing w:val="0"/>
          <w:sz w:val="24"/>
          <w:szCs w:val="24"/>
          <w:highlight w:val="none"/>
          <w:lang w:val="en-US" w:eastAsia="zh-CN"/>
        </w:rPr>
        <w:t>4</w:t>
      </w:r>
      <w:r>
        <w:rPr>
          <w:rFonts w:hint="eastAsia" w:ascii="宋体" w:hAnsi="宋体" w:eastAsia="宋体" w:cs="宋体"/>
          <w:bCs/>
          <w:color w:val="auto"/>
          <w:spacing w:val="0"/>
          <w:sz w:val="24"/>
          <w:szCs w:val="24"/>
          <w:highlight w:val="none"/>
        </w:rPr>
        <w:t>）向招标采购单位行贿或者提供其他不正当利益的；</w:t>
      </w:r>
    </w:p>
    <w:p w14:paraId="27E198DB">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w:t>
      </w:r>
      <w:r>
        <w:rPr>
          <w:rFonts w:hint="eastAsia" w:ascii="宋体" w:hAnsi="宋体" w:cs="宋体"/>
          <w:bCs/>
          <w:color w:val="auto"/>
          <w:spacing w:val="0"/>
          <w:sz w:val="24"/>
          <w:szCs w:val="24"/>
          <w:highlight w:val="none"/>
          <w:lang w:val="en-US" w:eastAsia="zh-CN"/>
        </w:rPr>
        <w:t>5</w:t>
      </w:r>
      <w:r>
        <w:rPr>
          <w:rFonts w:hint="eastAsia" w:ascii="宋体" w:hAnsi="宋体" w:eastAsia="宋体" w:cs="宋体"/>
          <w:bCs/>
          <w:color w:val="auto"/>
          <w:spacing w:val="0"/>
          <w:sz w:val="24"/>
          <w:szCs w:val="24"/>
          <w:highlight w:val="none"/>
        </w:rPr>
        <w:t>）在招标过程中与招标采购单位进行协商谈判、不按照招标文件和中标供应商的投标文件订立合同，或者与采购人另行订立背离合同实质性内容的协议的；</w:t>
      </w:r>
    </w:p>
    <w:p w14:paraId="18C5F57D">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w:t>
      </w:r>
      <w:r>
        <w:rPr>
          <w:rFonts w:hint="eastAsia" w:ascii="宋体" w:hAnsi="宋体" w:cs="宋体"/>
          <w:bCs/>
          <w:color w:val="auto"/>
          <w:spacing w:val="0"/>
          <w:sz w:val="24"/>
          <w:szCs w:val="24"/>
          <w:highlight w:val="none"/>
          <w:lang w:val="en-US" w:eastAsia="zh-CN"/>
        </w:rPr>
        <w:t>6</w:t>
      </w:r>
      <w:r>
        <w:rPr>
          <w:rFonts w:hint="eastAsia" w:ascii="宋体" w:hAnsi="宋体" w:eastAsia="宋体" w:cs="宋体"/>
          <w:bCs/>
          <w:color w:val="auto"/>
          <w:spacing w:val="0"/>
          <w:sz w:val="24"/>
          <w:szCs w:val="24"/>
          <w:highlight w:val="none"/>
        </w:rPr>
        <w:t>）拒绝有关部门监督检查或者提供虚假情况的。</w:t>
      </w:r>
    </w:p>
    <w:p w14:paraId="17D49D49">
      <w:pPr>
        <w:keepNext w:val="0"/>
        <w:keepLines w:val="0"/>
        <w:pageBreakBefore w:val="0"/>
        <w:widowControl w:val="0"/>
        <w:tabs>
          <w:tab w:val="left" w:pos="945"/>
        </w:tabs>
        <w:spacing w:line="360" w:lineRule="auto"/>
        <w:ind w:left="0" w:firstLine="480"/>
        <w:jc w:val="both"/>
        <w:outlineLvl w:val="9"/>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6070F176">
      <w:pPr>
        <w:spacing w:line="360" w:lineRule="auto"/>
        <w:ind w:firstLine="480"/>
        <w:jc w:val="both"/>
        <w:outlineLvl w:val="1"/>
        <w:rPr>
          <w:rFonts w:hint="eastAsia" w:ascii="黑体" w:hAnsi="宋体" w:eastAsia="黑体" w:cs="Times New Roman"/>
          <w:bCs/>
          <w:color w:val="auto"/>
          <w:spacing w:val="0"/>
          <w:sz w:val="24"/>
          <w:szCs w:val="24"/>
          <w:highlight w:val="none"/>
          <w:lang w:val="en-US" w:eastAsia="zh-CN"/>
        </w:rPr>
      </w:pPr>
      <w:r>
        <w:rPr>
          <w:rFonts w:hint="eastAsia" w:ascii="黑体" w:hAnsi="宋体" w:eastAsia="黑体" w:cs="Times New Roman"/>
          <w:bCs/>
          <w:color w:val="auto"/>
          <w:spacing w:val="0"/>
          <w:sz w:val="24"/>
          <w:szCs w:val="24"/>
          <w:highlight w:val="none"/>
          <w:lang w:val="en-US" w:eastAsia="zh-CN"/>
        </w:rPr>
        <w:t>（十四）签订、履行合同：</w:t>
      </w:r>
    </w:p>
    <w:p w14:paraId="0FBCFAA6">
      <w:pPr>
        <w:pStyle w:val="205"/>
        <w:keepNext w:val="0"/>
        <w:keepLines w:val="0"/>
        <w:pageBreakBefore w:val="0"/>
        <w:widowControl w:val="0"/>
        <w:spacing w:after="0" w:line="360" w:lineRule="auto"/>
        <w:ind w:lef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1.</w:t>
      </w:r>
      <w:r>
        <w:rPr>
          <w:rFonts w:hint="eastAsia" w:ascii="宋体" w:hAnsi="宋体" w:eastAsia="宋体" w:cs="宋体"/>
          <w:color w:val="auto"/>
          <w:spacing w:val="0"/>
          <w:sz w:val="24"/>
          <w:szCs w:val="24"/>
          <w:highlight w:val="none"/>
        </w:rPr>
        <w:t>采购人应当自中标通知书发出之日起三十日内，按照招标文件和中标供应商投标文件的约定，在</w:t>
      </w:r>
      <w:r>
        <w:rPr>
          <w:rFonts w:hint="eastAsia" w:ascii="宋体" w:hAnsi="宋体" w:eastAsia="宋体" w:cs="宋体"/>
          <w:color w:val="auto"/>
          <w:spacing w:val="0"/>
          <w:sz w:val="24"/>
          <w:szCs w:val="24"/>
          <w:highlight w:val="none"/>
          <w:lang w:eastAsia="zh-CN"/>
        </w:rPr>
        <w:t>无锡彰誉技术咨询有限公司</w:t>
      </w:r>
      <w:r>
        <w:rPr>
          <w:rFonts w:hint="eastAsia" w:ascii="宋体" w:hAnsi="宋体" w:eastAsia="宋体" w:cs="宋体"/>
          <w:color w:val="auto"/>
          <w:spacing w:val="0"/>
          <w:sz w:val="24"/>
          <w:szCs w:val="24"/>
          <w:highlight w:val="none"/>
        </w:rPr>
        <w:t>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pacing w:val="0"/>
          <w:sz w:val="24"/>
          <w:szCs w:val="24"/>
          <w:highlight w:val="none"/>
          <w:lang w:eastAsia="zh-CN"/>
        </w:rPr>
        <w:t>无锡彰誉技术咨询有限公司</w:t>
      </w:r>
      <w:r>
        <w:rPr>
          <w:rFonts w:hint="eastAsia" w:ascii="宋体" w:hAnsi="宋体" w:eastAsia="宋体" w:cs="宋体"/>
          <w:color w:val="auto"/>
          <w:spacing w:val="0"/>
          <w:sz w:val="24"/>
          <w:szCs w:val="24"/>
          <w:highlight w:val="none"/>
        </w:rPr>
        <w:t>见证部分详见招标文件合同书（格式条款），见证后的格式条款不得</w:t>
      </w:r>
      <w:r>
        <w:rPr>
          <w:rFonts w:hint="eastAsia" w:ascii="宋体" w:hAnsi="宋体" w:eastAsia="宋体" w:cs="宋体"/>
          <w:color w:val="auto"/>
          <w:spacing w:val="0"/>
          <w:sz w:val="24"/>
          <w:szCs w:val="24"/>
          <w:highlight w:val="none"/>
          <w:lang w:eastAsia="zh-CN"/>
        </w:rPr>
        <w:t>做</w:t>
      </w:r>
      <w:r>
        <w:rPr>
          <w:rFonts w:hint="eastAsia" w:ascii="宋体" w:hAnsi="宋体" w:eastAsia="宋体" w:cs="宋体"/>
          <w:color w:val="auto"/>
          <w:spacing w:val="0"/>
          <w:sz w:val="24"/>
          <w:szCs w:val="24"/>
          <w:highlight w:val="none"/>
        </w:rPr>
        <w:t>任何修改。</w:t>
      </w:r>
    </w:p>
    <w:p w14:paraId="0C3854FC">
      <w:pPr>
        <w:pStyle w:val="205"/>
        <w:keepNext w:val="0"/>
        <w:keepLines w:val="0"/>
        <w:pageBreakBefore w:val="0"/>
        <w:widowControl w:val="0"/>
        <w:spacing w:after="0" w:line="360" w:lineRule="auto"/>
        <w:ind w:lef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2.</w:t>
      </w:r>
      <w:r>
        <w:rPr>
          <w:rFonts w:hint="eastAsia" w:ascii="宋体" w:hAnsi="宋体" w:eastAsia="宋体" w:cs="宋体"/>
          <w:color w:val="auto"/>
          <w:spacing w:val="0"/>
          <w:sz w:val="24"/>
          <w:szCs w:val="24"/>
          <w:highlight w:val="none"/>
        </w:rPr>
        <w:t>中标方非因不可抗力未履行招、投标文件和合同规定的义务，一经查实，</w:t>
      </w:r>
      <w:r>
        <w:rPr>
          <w:rFonts w:hint="eastAsia" w:ascii="宋体" w:hAnsi="宋体" w:eastAsia="宋体" w:cs="宋体"/>
          <w:color w:val="auto"/>
          <w:spacing w:val="0"/>
          <w:sz w:val="24"/>
          <w:szCs w:val="24"/>
          <w:highlight w:val="none"/>
          <w:lang w:eastAsia="zh-CN"/>
        </w:rPr>
        <w:t>无锡彰誉技术咨询有限公司</w:t>
      </w:r>
      <w:r>
        <w:rPr>
          <w:rFonts w:hint="eastAsia" w:ascii="宋体" w:hAnsi="宋体" w:eastAsia="宋体" w:cs="宋体"/>
          <w:color w:val="auto"/>
          <w:spacing w:val="0"/>
          <w:sz w:val="24"/>
          <w:szCs w:val="24"/>
          <w:highlight w:val="none"/>
        </w:rPr>
        <w:t>将根据具体情况提请政府采购管理部门作出相应处理。</w:t>
      </w:r>
    </w:p>
    <w:p w14:paraId="389C3772">
      <w:pPr>
        <w:spacing w:line="360" w:lineRule="auto"/>
        <w:ind w:firstLine="480"/>
        <w:jc w:val="both"/>
        <w:outlineLvl w:val="1"/>
        <w:rPr>
          <w:rFonts w:hint="eastAsia" w:ascii="黑体" w:hAnsi="宋体" w:eastAsia="黑体" w:cs="Times New Roman"/>
          <w:bCs/>
          <w:color w:val="auto"/>
          <w:spacing w:val="0"/>
          <w:sz w:val="24"/>
          <w:szCs w:val="24"/>
          <w:highlight w:val="none"/>
          <w:lang w:val="en-US" w:eastAsia="zh-CN"/>
        </w:rPr>
      </w:pPr>
      <w:r>
        <w:rPr>
          <w:rFonts w:hint="eastAsia" w:ascii="黑体" w:hAnsi="宋体" w:eastAsia="黑体" w:cs="Times New Roman"/>
          <w:bCs/>
          <w:color w:val="auto"/>
          <w:spacing w:val="0"/>
          <w:sz w:val="24"/>
          <w:szCs w:val="24"/>
          <w:highlight w:val="none"/>
          <w:lang w:val="en-US" w:eastAsia="zh-CN"/>
        </w:rPr>
        <w:t>（十五）</w:t>
      </w:r>
      <w:r>
        <w:rPr>
          <w:rFonts w:hint="eastAsia" w:ascii="黑体" w:hAnsi="宋体" w:eastAsia="黑体" w:cs="Times New Roman"/>
          <w:bCs/>
          <w:color w:val="auto"/>
          <w:sz w:val="24"/>
          <w:szCs w:val="24"/>
          <w:highlight w:val="none"/>
          <w:lang w:val="en-US" w:eastAsia="zh-CN"/>
        </w:rPr>
        <w:t>注意</w:t>
      </w:r>
      <w:r>
        <w:rPr>
          <w:rFonts w:hint="eastAsia" w:ascii="黑体" w:hAnsi="宋体" w:eastAsia="黑体" w:cs="Times New Roman"/>
          <w:bCs/>
          <w:color w:val="auto"/>
          <w:spacing w:val="0"/>
          <w:sz w:val="24"/>
          <w:szCs w:val="24"/>
          <w:highlight w:val="none"/>
          <w:lang w:val="en-US" w:eastAsia="zh-CN"/>
        </w:rPr>
        <w:t>事项：</w:t>
      </w:r>
    </w:p>
    <w:p w14:paraId="6F242CB7">
      <w:pPr>
        <w:pStyle w:val="205"/>
        <w:keepNext w:val="0"/>
        <w:keepLines w:val="0"/>
        <w:pageBreakBefore w:val="0"/>
        <w:widowControl w:val="0"/>
        <w:spacing w:after="0" w:line="360" w:lineRule="auto"/>
        <w:ind w:lef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中标供应商有下列情形之一的，情节严重的，由财政部门将其列入不良行为记录名单，在一至三年内禁止参加政府采购活动，并予以通报：</w:t>
      </w:r>
    </w:p>
    <w:p w14:paraId="46B3D5A7">
      <w:pPr>
        <w:pStyle w:val="205"/>
        <w:keepNext w:val="0"/>
        <w:keepLines w:val="0"/>
        <w:pageBreakBefore w:val="0"/>
        <w:widowControl w:val="0"/>
        <w:spacing w:after="0" w:line="360" w:lineRule="auto"/>
        <w:ind w:lef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（1）中标后无正当理由不与采购人签订合同的；</w:t>
      </w:r>
    </w:p>
    <w:p w14:paraId="460147F1">
      <w:pPr>
        <w:pStyle w:val="205"/>
        <w:keepNext w:val="0"/>
        <w:keepLines w:val="0"/>
        <w:pageBreakBefore w:val="0"/>
        <w:widowControl w:val="0"/>
        <w:spacing w:after="0" w:line="360" w:lineRule="auto"/>
        <w:ind w:lef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（2）将中标项目转让给他人，或者在投标文件中未说明，且未经过采购人同意，将中标项目分包给他人的；</w:t>
      </w:r>
    </w:p>
    <w:p w14:paraId="54653E09">
      <w:pPr>
        <w:pStyle w:val="205"/>
        <w:keepNext w:val="0"/>
        <w:keepLines w:val="0"/>
        <w:pageBreakBefore w:val="0"/>
        <w:widowControl w:val="0"/>
        <w:spacing w:after="0" w:line="360" w:lineRule="auto"/>
        <w:ind w:lef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（3）拒绝履行合同义务的。</w:t>
      </w:r>
    </w:p>
    <w:p w14:paraId="2DF9AECB">
      <w:pPr>
        <w:spacing w:line="360" w:lineRule="auto"/>
        <w:ind w:firstLine="480"/>
        <w:jc w:val="both"/>
        <w:outlineLvl w:val="1"/>
        <w:rPr>
          <w:rFonts w:hint="eastAsia" w:ascii="黑体" w:hAnsi="宋体" w:eastAsia="黑体" w:cs="Times New Roman"/>
          <w:bCs/>
          <w:color w:val="auto"/>
          <w:spacing w:val="0"/>
          <w:sz w:val="24"/>
          <w:szCs w:val="24"/>
          <w:highlight w:val="none"/>
          <w:lang w:val="en-US" w:eastAsia="zh-CN"/>
        </w:rPr>
      </w:pPr>
      <w:r>
        <w:rPr>
          <w:rFonts w:hint="eastAsia" w:ascii="黑体" w:hAnsi="宋体" w:eastAsia="黑体" w:cs="Times New Roman"/>
          <w:bCs/>
          <w:color w:val="auto"/>
          <w:spacing w:val="0"/>
          <w:sz w:val="24"/>
          <w:szCs w:val="24"/>
          <w:highlight w:val="none"/>
          <w:lang w:val="en-US" w:eastAsia="zh-CN"/>
        </w:rPr>
        <w:t>（十六）中标服务费：</w:t>
      </w:r>
    </w:p>
    <w:p w14:paraId="7A79BD30">
      <w:pPr>
        <w:pStyle w:val="205"/>
        <w:keepNext w:val="0"/>
        <w:keepLines w:val="0"/>
        <w:pageBreakBefore w:val="0"/>
        <w:widowControl w:val="0"/>
        <w:spacing w:after="0" w:line="360" w:lineRule="auto"/>
        <w:ind w:lef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本项目代理费由中标人支付。招标代理费收费标准：以中标价作为计算基数</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按以下规定的标准和差额定率累进法的70%进行计算收取，100万以下费率为1.5%，中标金额</w:t>
      </w:r>
      <w:r>
        <w:rPr>
          <w:rFonts w:hint="eastAsia" w:ascii="宋体" w:hAnsi="宋体" w:eastAsia="宋体" w:cs="宋体"/>
          <w:color w:val="auto"/>
          <w:spacing w:val="0"/>
          <w:sz w:val="24"/>
          <w:szCs w:val="24"/>
          <w:highlight w:val="none"/>
          <w:lang w:eastAsia="zh-CN"/>
        </w:rPr>
        <w:t>100万-500万</w:t>
      </w:r>
      <w:r>
        <w:rPr>
          <w:rFonts w:hint="eastAsia" w:ascii="宋体" w:hAnsi="宋体" w:eastAsia="宋体" w:cs="宋体"/>
          <w:color w:val="auto"/>
          <w:spacing w:val="0"/>
          <w:sz w:val="24"/>
          <w:szCs w:val="24"/>
          <w:highlight w:val="none"/>
        </w:rPr>
        <w:t>费率为中标金额的</w:t>
      </w:r>
      <w:r>
        <w:rPr>
          <w:rFonts w:hint="eastAsia" w:ascii="宋体" w:hAnsi="宋体" w:eastAsia="宋体" w:cs="宋体"/>
          <w:color w:val="auto"/>
          <w:spacing w:val="0"/>
          <w:sz w:val="24"/>
          <w:szCs w:val="24"/>
          <w:highlight w:val="none"/>
          <w:lang w:val="en-US" w:eastAsia="zh-CN"/>
        </w:rPr>
        <w:t>0.8</w:t>
      </w:r>
      <w:r>
        <w:rPr>
          <w:rFonts w:hint="eastAsia" w:ascii="宋体" w:hAnsi="宋体" w:eastAsia="宋体" w:cs="宋体"/>
          <w:color w:val="auto"/>
          <w:spacing w:val="0"/>
          <w:sz w:val="24"/>
          <w:szCs w:val="24"/>
          <w:highlight w:val="none"/>
        </w:rPr>
        <w:t>%。</w:t>
      </w:r>
    </w:p>
    <w:p w14:paraId="690755CB">
      <w:pPr>
        <w:spacing w:line="360" w:lineRule="auto"/>
        <w:ind w:firstLine="480"/>
        <w:jc w:val="both"/>
        <w:outlineLvl w:val="1"/>
        <w:rPr>
          <w:rFonts w:hint="eastAsia" w:ascii="黑体" w:hAnsi="宋体" w:eastAsia="黑体" w:cs="Times New Roman"/>
          <w:bCs/>
          <w:color w:val="auto"/>
          <w:spacing w:val="0"/>
          <w:sz w:val="24"/>
          <w:szCs w:val="24"/>
          <w:highlight w:val="none"/>
          <w:lang w:val="en-US" w:eastAsia="zh-CN"/>
        </w:rPr>
      </w:pPr>
      <w:r>
        <w:rPr>
          <w:rFonts w:hint="eastAsia" w:ascii="黑体" w:hAnsi="宋体" w:eastAsia="黑体" w:cs="Times New Roman"/>
          <w:bCs/>
          <w:color w:val="auto"/>
          <w:spacing w:val="0"/>
          <w:sz w:val="24"/>
          <w:szCs w:val="24"/>
          <w:highlight w:val="none"/>
          <w:lang w:val="en-US" w:eastAsia="zh-CN"/>
        </w:rPr>
        <w:t>（十七）合同融资、履约担保</w:t>
      </w:r>
    </w:p>
    <w:p w14:paraId="196BDF9C">
      <w:pPr>
        <w:pStyle w:val="205"/>
        <w:keepNext w:val="0"/>
        <w:keepLines w:val="0"/>
        <w:pageBreakBefore w:val="0"/>
        <w:widowControl w:val="0"/>
        <w:spacing w:after="0" w:line="360" w:lineRule="auto"/>
        <w:ind w:lef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1.根据国家扶持中小企业的有关政策，本次采购项目中标的供应商，如需要政府采购合同融资，请按锡财购</w:t>
      </w:r>
      <w:r>
        <w:rPr>
          <w:rFonts w:hint="eastAsia" w:ascii="宋体" w:hAnsi="宋体" w:eastAsia="宋体" w:cs="宋体"/>
          <w:color w:val="auto"/>
          <w:spacing w:val="0"/>
          <w:sz w:val="24"/>
          <w:szCs w:val="24"/>
          <w:highlight w:val="none"/>
          <w:lang w:eastAsia="zh-CN"/>
        </w:rPr>
        <w:t>〔2020〕17号</w:t>
      </w:r>
      <w:r>
        <w:rPr>
          <w:rFonts w:hint="eastAsia" w:ascii="宋体" w:hAnsi="宋体" w:eastAsia="宋体" w:cs="宋体"/>
          <w:color w:val="auto"/>
          <w:spacing w:val="0"/>
          <w:sz w:val="24"/>
          <w:szCs w:val="24"/>
          <w:highlight w:val="none"/>
        </w:rPr>
        <w:t>文件执行。</w:t>
      </w:r>
    </w:p>
    <w:p w14:paraId="34304250">
      <w:pPr>
        <w:pStyle w:val="205"/>
        <w:keepNext w:val="0"/>
        <w:keepLines w:val="0"/>
        <w:pageBreakBefore w:val="0"/>
        <w:widowControl w:val="0"/>
        <w:spacing w:after="0" w:line="360" w:lineRule="auto"/>
        <w:ind w:lef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w:t>
      </w:r>
      <w:r>
        <w:rPr>
          <w:rFonts w:hint="eastAsia" w:ascii="宋体" w:hAnsi="宋体" w:eastAsia="宋体" w:cs="宋体"/>
          <w:color w:val="auto"/>
          <w:spacing w:val="0"/>
          <w:sz w:val="24"/>
          <w:szCs w:val="24"/>
          <w:highlight w:val="none"/>
          <w:lang w:eastAsia="zh-CN"/>
        </w:rPr>
        <w:t>在</w:t>
      </w:r>
      <w:r>
        <w:rPr>
          <w:rFonts w:hint="eastAsia" w:ascii="宋体" w:hAnsi="宋体" w:cs="宋体"/>
          <w:color w:val="auto"/>
          <w:sz w:val="24"/>
          <w:highlight w:val="none"/>
        </w:rPr>
        <w:t>江苏省政府采购（苏采云）</w:t>
      </w:r>
      <w:r>
        <w:rPr>
          <w:rFonts w:hint="eastAsia" w:ascii="宋体" w:hAnsi="宋体" w:eastAsia="宋体" w:cs="宋体"/>
          <w:color w:val="auto"/>
          <w:spacing w:val="0"/>
          <w:sz w:val="24"/>
          <w:szCs w:val="24"/>
          <w:highlight w:val="none"/>
        </w:rPr>
        <w:t>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8CC98C2">
      <w:pPr>
        <w:pStyle w:val="205"/>
        <w:keepNext w:val="0"/>
        <w:keepLines w:val="0"/>
        <w:pageBreakBefore w:val="0"/>
        <w:widowControl w:val="0"/>
        <w:spacing w:after="0" w:line="360" w:lineRule="auto"/>
        <w:ind w:lef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中标、中标供应商可根据自身情况，自行决定是否选择采用合同融资形式，在</w:t>
      </w:r>
      <w:r>
        <w:rPr>
          <w:rFonts w:hint="eastAsia" w:ascii="宋体" w:hAnsi="宋体" w:eastAsia="宋体" w:cs="宋体"/>
          <w:color w:val="auto"/>
          <w:spacing w:val="0"/>
          <w:sz w:val="24"/>
          <w:szCs w:val="24"/>
          <w:highlight w:val="none"/>
          <w:lang w:val="en-US" w:eastAsia="zh-CN"/>
        </w:rPr>
        <w:t>江苏</w:t>
      </w:r>
      <w:r>
        <w:rPr>
          <w:rFonts w:hint="eastAsia" w:ascii="宋体" w:hAnsi="宋体" w:eastAsia="宋体" w:cs="宋体"/>
          <w:color w:val="auto"/>
          <w:spacing w:val="0"/>
          <w:sz w:val="24"/>
          <w:szCs w:val="24"/>
          <w:highlight w:val="none"/>
        </w:rPr>
        <w:t>政府采购网——政采贷专栏提供的银行名录内自主选择合作银行。</w:t>
      </w:r>
    </w:p>
    <w:p w14:paraId="7F1C65ED">
      <w:pPr>
        <w:pStyle w:val="205"/>
        <w:keepNext w:val="0"/>
        <w:keepLines w:val="0"/>
        <w:pageBreakBefore w:val="0"/>
        <w:widowControl w:val="0"/>
        <w:spacing w:after="0" w:line="360" w:lineRule="auto"/>
        <w:ind w:lef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2.履约担保，是指由专业担保机构为中标、中标供应商支付履约保证金的义务向采购人提供的保函担保。专业担保机构根据中标、中标供应商的中标（成交）通知书为凭据，进行资信审查后出具保函</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中标、中标供应商以保函形式缴纳履约保证金；供应商未按政府采购合同履行约定义务而应实际支付保证金的，由专业担保机构按照</w:t>
      </w:r>
      <w:r>
        <w:rPr>
          <w:rFonts w:hint="eastAsia" w:ascii="宋体" w:hAnsi="宋体" w:eastAsia="宋体" w:cs="宋体"/>
          <w:color w:val="auto"/>
          <w:spacing w:val="0"/>
          <w:sz w:val="24"/>
          <w:szCs w:val="24"/>
          <w:highlight w:val="none"/>
          <w:lang w:eastAsia="zh-CN"/>
        </w:rPr>
        <w:t>保</w:t>
      </w:r>
      <w:r>
        <w:rPr>
          <w:rFonts w:hint="eastAsia" w:ascii="宋体" w:hAnsi="宋体" w:eastAsia="宋体" w:cs="宋体"/>
          <w:color w:val="auto"/>
          <w:spacing w:val="0"/>
          <w:sz w:val="24"/>
          <w:szCs w:val="24"/>
          <w:highlight w:val="none"/>
        </w:rPr>
        <w:t>函约定履行担保责任。供应商可以自愿选择是否采取履约担保函的形式交纳履约保证金。</w:t>
      </w:r>
    </w:p>
    <w:p w14:paraId="4EC2B601">
      <w:pPr>
        <w:pStyle w:val="205"/>
        <w:keepNext w:val="0"/>
        <w:keepLines w:val="0"/>
        <w:pageBreakBefore w:val="0"/>
        <w:widowControl w:val="0"/>
        <w:spacing w:after="0" w:line="360" w:lineRule="auto"/>
        <w:ind w:left="0" w:firstLine="480"/>
        <w:jc w:val="both"/>
        <w:rPr>
          <w:rFonts w:hint="eastAsia"/>
          <w:color w:val="auto"/>
          <w:highlight w:val="none"/>
        </w:rPr>
      </w:pPr>
      <w:r>
        <w:rPr>
          <w:rFonts w:hint="eastAsia" w:ascii="宋体" w:hAnsi="宋体" w:eastAsia="宋体" w:cs="宋体"/>
          <w:color w:val="auto"/>
          <w:spacing w:val="0"/>
          <w:sz w:val="24"/>
          <w:szCs w:val="24"/>
          <w:highlight w:val="none"/>
        </w:rPr>
        <w:t>中标、中标供应商可以根据自身情况，自行决定是否选择采用履约担保形式，自主选择合作银行。除江苏省财政厅确定的江苏省再担保有限公司外，民生银行南京分行、江苏银行和中信银行南京分行、浙商银行无锡分行可以在无锡市范围内开展政府采购履约担保业务。</w:t>
      </w:r>
    </w:p>
    <w:p w14:paraId="1119E154">
      <w:pPr>
        <w:keepNext w:val="0"/>
        <w:keepLines w:val="0"/>
        <w:pageBreakBefore w:val="0"/>
        <w:widowControl w:val="0"/>
        <w:spacing w:line="360" w:lineRule="auto"/>
        <w:ind w:left="0" w:firstLine="480"/>
        <w:jc w:val="left"/>
        <w:outlineLvl w:val="9"/>
        <w:rPr>
          <w:rFonts w:hint="eastAsia" w:ascii="宋体" w:hAnsi="宋体" w:eastAsia="宋体" w:cs="宋体"/>
          <w:bCs/>
          <w:color w:val="auto"/>
          <w:spacing w:val="0"/>
          <w:sz w:val="24"/>
          <w:szCs w:val="24"/>
          <w:highlight w:val="none"/>
        </w:rPr>
        <w:sectPr>
          <w:pgSz w:w="11906" w:h="16838"/>
          <w:pgMar w:top="1134" w:right="1134" w:bottom="1134" w:left="1134" w:header="624" w:footer="907" w:gutter="0"/>
          <w:cols w:space="1701" w:num="1"/>
          <w:rtlGutter w:val="0"/>
          <w:docGrid w:linePitch="360" w:charSpace="0"/>
        </w:sectPr>
      </w:pPr>
    </w:p>
    <w:p w14:paraId="3C81A151">
      <w:pPr>
        <w:spacing w:line="360" w:lineRule="auto"/>
        <w:jc w:val="center"/>
        <w:outlineLvl w:val="0"/>
        <w:rPr>
          <w:rFonts w:hint="eastAsia" w:ascii="黑体" w:eastAsia="黑体"/>
          <w:bCs/>
          <w:color w:val="auto"/>
          <w:sz w:val="28"/>
          <w:szCs w:val="28"/>
          <w:highlight w:val="none"/>
        </w:rPr>
      </w:pPr>
      <w:bookmarkStart w:id="3" w:name="_Toc14516"/>
      <w:r>
        <w:rPr>
          <w:rFonts w:hint="eastAsia" w:ascii="黑体" w:eastAsia="黑体"/>
          <w:bCs/>
          <w:color w:val="auto"/>
          <w:sz w:val="28"/>
          <w:szCs w:val="28"/>
          <w:highlight w:val="none"/>
          <w:lang w:eastAsia="zh-CN"/>
        </w:rPr>
        <w:t>三、</w:t>
      </w:r>
      <w:r>
        <w:rPr>
          <w:rFonts w:hint="eastAsia" w:ascii="黑体" w:eastAsia="黑体"/>
          <w:bCs/>
          <w:color w:val="auto"/>
          <w:sz w:val="28"/>
          <w:szCs w:val="28"/>
          <w:highlight w:val="none"/>
        </w:rPr>
        <w:t>项目技术要求和有关说明</w:t>
      </w:r>
      <w:bookmarkEnd w:id="3"/>
    </w:p>
    <w:p w14:paraId="78BC8907">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90"/>
        <w:jc w:val="both"/>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一、项目概况</w:t>
      </w:r>
    </w:p>
    <w:p w14:paraId="49198F9F">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7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根据《特种设备生产单位落实质量安全主体责任监督管理规定》（国家市场监督管理总局令第73号）、《特种设备使用单位落实使用安全主体责任监督管理规定》（国家市场监督管理总局令第74号）等文件要求，为了继续加强街道辖区特种设备安全管理工作，督促特种设备使用单位进一步落实特种设备安全主体责任，提升特种设备安全治理能力，有效解决安全监管力量不足等突出问题，依托外部机构在特种设备安全技术、人才以及服务等方面的资源优势，构建“数据排查、隐患上报、指导调整、问题移交、报告反馈”的工作机制，确定1家服务机构，协助鸿山街道市场监督管理局对特种设备使用单位进行安全风险排查，以及做好新吴区其他特种设备安全排查各项工作。协助鸿山街道对指定范围内的食品经营服务提供者开展日常管理，提升辖区食品安全水平，加快建设和部署食品安全社会共治机制。</w:t>
      </w:r>
    </w:p>
    <w:p w14:paraId="008169B4">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7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服务期：两年（以合同签订日期为准）。</w:t>
      </w:r>
    </w:p>
    <w:p w14:paraId="1E75A238">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7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质量标准：符合国家相关标准要求，满足招标人要求。</w:t>
      </w:r>
    </w:p>
    <w:p w14:paraId="4468C625">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90"/>
        <w:jc w:val="both"/>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二、服务范围、内容及标准</w:t>
      </w:r>
    </w:p>
    <w:p w14:paraId="1068E28A">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82"/>
        <w:jc w:val="both"/>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（一）服务区域</w:t>
      </w:r>
    </w:p>
    <w:p w14:paraId="44CE19FB">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76"/>
        <w:jc w:val="both"/>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鸿山街道管辖区域内目前登记在册特种设备6511台，特种设备使用单位1011家，非特种设备类升降平台104台，小餐饮服务单位544家，食品小作坊生产加工者40家。具体数量和区域根据鸿山街道实际情况确定。</w:t>
      </w:r>
    </w:p>
    <w:p w14:paraId="06C5D5D0">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82"/>
        <w:jc w:val="both"/>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（二）服务内容</w:t>
      </w:r>
    </w:p>
    <w:p w14:paraId="5883E048">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70"/>
        <w:jc w:val="both"/>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1.特种设备安全服务内容</w:t>
      </w:r>
    </w:p>
    <w:p w14:paraId="258EA8EA">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7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提供鸿山街道范围内特种设备使用单位的安全技术服务工作，在相关部门的指导下制定底数摸排计划，明确区域、单位、时间、地点、人员等信息。根据特种设备底数表单信息，第三方专业技术人员在现场进行基础信息核对，过程中对表单涉及单位进行信息采集，对表单涉及单位的现场情况、资料文件按照法律法规，安全技术规范的要求进行有效性、一致性确认，摸排台账经梳理汇总后，报送相关部门。</w:t>
      </w:r>
    </w:p>
    <w:p w14:paraId="3A9C44E0">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7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特种设备的安全服务技术标准“清单”化，为监管部门提供技术支持和风险排查服务。对安全技术服务过程中发现的隐患，及时记录汇总，结合监管部门提供的智慧监管平台数据，对前述隐患进行自动归类、综合分析、出具整改建议，形成书面报告报送监管部门。   </w:t>
      </w:r>
    </w:p>
    <w:p w14:paraId="205A7B19">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7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（3）协助掌握辖区内的特种设备使用单位及设备的数量、使用状况；现场指导特种设备使用单位落实企业主体责任；</w:t>
      </w:r>
    </w:p>
    <w:p w14:paraId="486B60D9">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7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（4）排摸辖区内特种设备使用单位存在的安全隐患，指导企业完成安全隐患闭环；发现隐患及时上报，并协助安全监察人员及时处置；</w:t>
      </w:r>
    </w:p>
    <w:p w14:paraId="253EC782">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7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（5）宣传特种设备安全，普及安全使用特种设备知识；</w:t>
      </w:r>
    </w:p>
    <w:p w14:paraId="501C8C15">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7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（6）协助做好新吴区特种设备安全监管其他各项工作。</w:t>
      </w:r>
    </w:p>
    <w:p w14:paraId="6A7D0DAD">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7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（7）协助完成街道赋予的其他临时性任务。</w:t>
      </w:r>
    </w:p>
    <w:p w14:paraId="38B282CD">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2.食品安全服务内容</w:t>
      </w:r>
    </w:p>
    <w:p w14:paraId="492ACE8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实地开展对鸿山街道的商圈广场及周边餐饮服务单位和食品经营单位约2900家现场排查。对照《餐饮服务日常监督检查要点表》对餐饮服务单位开展日常排查，排查食品安全风险隐患。指导餐饮单位落实主体责任、创新管理方式、规范操作过程和提升服务质量。对照排查中发现的不符合项目，指导餐饮单位现场调整，问题调整率达到80%以上。排查中发现的违法案件线索信息，及时报送辖区市场监督管理局分局，报送率100%。</w:t>
      </w:r>
    </w:p>
    <w:p w14:paraId="0A20296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建立“一户一档”动态管理档案。充分发挥互联网+大数据等信息化技术作用，本次专业服务机构应建立和完善餐饮服务单位信息管理数据平台，结合排查工作及时将餐饮服务单位登记许可、日常排查、风险隐患、问题整改和动态排查等基本信息进行录入，建立“一户一档”动态管理档案，通过数据分析，产生食品安全动态管理等级，对每户餐饮服务单位的食品安全风险隐患数据进行分析，为精准监管、靶向执法提供技术支持。</w:t>
      </w:r>
    </w:p>
    <w:p w14:paraId="614B9E9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实行食品安全分级管控。通过排查结果将餐饮服务单位进行食品安全风险等级划分，不同等级反映排查隐患的数量和风险严重程度，根据食品安全风险等级确定相应的排查频次。根据餐饮服务单位食品安全问题隐患的调整情况，对食品安全风险等级进行动态调整。</w:t>
      </w:r>
    </w:p>
    <w:p w14:paraId="44DAFBD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实行动态信息“双公示”。建立信息平台线下“一户码”和设立食品安全动态信息公示牌等方式，将每户餐饮服务单位和流通单位的基本信息、食品安全动态问题隐患和风险等级等信息向社会公众开放，让社会公众能够实时了解每户餐饮服务单位的食品安全状况，切实维护消费者利益，促使餐饮服务单位主体自觉落实食品安全主体责任。</w:t>
      </w:r>
    </w:p>
    <w:p w14:paraId="706E25C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（5）食品安全工作以鸿山街道市场监管局各个阶段食品工作为主，积极配合协助完成相应食品安全专项工作和其他专项工作。</w:t>
      </w:r>
    </w:p>
    <w:p w14:paraId="76895A4C">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82"/>
        <w:jc w:val="both"/>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（三）服务人员</w:t>
      </w:r>
    </w:p>
    <w:p w14:paraId="3CB3D210">
      <w:pPr>
        <w:pStyle w:val="37"/>
        <w:keepNext w:val="0"/>
        <w:keepLines w:val="0"/>
        <w:widowControl w:val="0"/>
        <w:suppressLineNumbers w:val="0"/>
        <w:spacing w:line="360" w:lineRule="auto"/>
        <w:ind w:lef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1.投入本项目总人数不得少于</w:t>
      </w: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rPr>
        <w:t>人（含项目经理1人）。项目负责人要求在特种设备领域，对相关法律法规、安全技术规范有一定了解，身体健康，精力充沛，仪表端庄，工作认真负责并定期接受专业培训，中标后依法为所有人员缴纳社保。应急情况下，经双方沟通，可由服务单位临时抽调人员配合，临时抽调人员均符合其他人员相关要求。</w:t>
      </w:r>
    </w:p>
    <w:p w14:paraId="21641C80">
      <w:pPr>
        <w:pStyle w:val="37"/>
        <w:keepNext w:val="0"/>
        <w:keepLines w:val="0"/>
        <w:widowControl w:val="0"/>
        <w:suppressLineNumbers w:val="0"/>
        <w:spacing w:line="360" w:lineRule="auto"/>
        <w:ind w:lef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2.所有工作人员作业时需着统一工作服，工作服整洁有所属单位明显标志。工作人员要求相对固定，合同签订之日起15天内中标人需将全部工作人员名册</w:t>
      </w:r>
      <w:r>
        <w:rPr>
          <w:rFonts w:hint="eastAsia" w:ascii="宋体" w:hAnsi="宋体" w:eastAsia="宋体" w:cs="宋体"/>
          <w:color w:val="auto"/>
          <w:spacing w:val="0"/>
          <w:sz w:val="24"/>
          <w:szCs w:val="24"/>
          <w:highlight w:val="none"/>
        </w:rPr>
        <w:t>。备案人员必须与实际排查人员一致，否则招标人可单方面解除合同。如工作人员需变更的，需经招标人同意后更换同等资质人员。</w:t>
      </w:r>
    </w:p>
    <w:p w14:paraId="6BE786EA">
      <w:pPr>
        <w:pStyle w:val="37"/>
        <w:keepNext w:val="0"/>
        <w:keepLines w:val="0"/>
        <w:widowControl w:val="0"/>
        <w:suppressLineNumbers w:val="0"/>
        <w:spacing w:line="360" w:lineRule="auto"/>
        <w:ind w:lef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3.人员配置清单</w:t>
      </w:r>
    </w:p>
    <w:p w14:paraId="68AC022C">
      <w:pPr>
        <w:pStyle w:val="37"/>
        <w:widowControl/>
        <w:spacing w:line="360" w:lineRule="auto"/>
        <w:ind w:left="0" w:firstLine="480"/>
        <w:jc w:val="both"/>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①</w:t>
      </w:r>
      <w:r>
        <w:rPr>
          <w:rFonts w:hint="eastAsia" w:ascii="宋体" w:hAnsi="宋体" w:eastAsia="宋体" w:cs="宋体"/>
          <w:color w:val="auto"/>
          <w:spacing w:val="0"/>
          <w:sz w:val="24"/>
          <w:szCs w:val="24"/>
          <w:highlight w:val="none"/>
        </w:rPr>
        <w:t>投入本项目总人数不得少于8人（食品排查2人，特种设备排查6人，含项目经理1人）</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应急情况下，经双方沟通，可由服务单位临时抽调人员配合，临时抽调人员均符合其他人员相关要求</w:t>
      </w:r>
      <w:r>
        <w:rPr>
          <w:rFonts w:hint="eastAsia" w:ascii="宋体" w:hAnsi="宋体" w:eastAsia="宋体" w:cs="宋体"/>
          <w:color w:val="auto"/>
          <w:spacing w:val="0"/>
          <w:sz w:val="24"/>
          <w:szCs w:val="24"/>
          <w:highlight w:val="none"/>
          <w:lang w:eastAsia="zh-CN"/>
        </w:rPr>
        <w:t>。项目经理要求在特种设备领域，对相关法律法规、安全技术规范有一定了解。其他人员要求以中青年为主，身体健康，精力充沛，仪表端庄，工作认真负责并定期接受专业培训，中标后依法为所有人员缴纳社保。应急情况下，经双方沟通，可由供应商临时抽调人员配合，临时抽调人员均符合其他人员相关要求。</w:t>
      </w:r>
      <w:r>
        <w:rPr>
          <w:rFonts w:hint="eastAsia" w:ascii="宋体" w:hAnsi="宋体" w:eastAsia="宋体" w:cs="宋体"/>
          <w:color w:val="auto"/>
          <w:spacing w:val="0"/>
          <w:sz w:val="24"/>
          <w:szCs w:val="24"/>
          <w:highlight w:val="none"/>
          <w:lang w:val="en-US" w:eastAsia="zh-CN"/>
        </w:rPr>
        <w:t>除项目经理外的工作人员年龄不应超过45周岁。</w:t>
      </w:r>
    </w:p>
    <w:p w14:paraId="2B8E2E83">
      <w:pPr>
        <w:pStyle w:val="37"/>
        <w:widowControl/>
        <w:spacing w:line="360" w:lineRule="auto"/>
        <w:ind w:left="0" w:firstLine="480"/>
        <w:jc w:val="both"/>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②所有排查人员作业时需着统一工作服，工作服整洁有所属单位明显标志。</w:t>
      </w:r>
    </w:p>
    <w:p w14:paraId="1A1440A4">
      <w:pPr>
        <w:pStyle w:val="37"/>
        <w:widowControl/>
        <w:spacing w:line="360" w:lineRule="auto"/>
        <w:ind w:left="0" w:firstLine="480"/>
        <w:jc w:val="both"/>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③排查人员要求相对固定，合同签订之日起15天内中标人需将全部排查人员名册报送采购单位备案。备案人员必须与实际排查人员一致，否则采购单位可以单方面解除合同。如排查人员需变更的，需经采购单位同意后更换同等资质人员。</w:t>
      </w:r>
    </w:p>
    <w:p w14:paraId="3B45657B">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82"/>
        <w:jc w:val="both"/>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（四）服务辅助设备</w:t>
      </w:r>
    </w:p>
    <w:p w14:paraId="6B921517">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80" w:firstLineChars="20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中标供应商应当具有满足特种设备安全风险排查需要的专业人员、设备、交通工具等。拟配备的设备清单如下，包括且不限于以下清单内容，由投标人自行配备，包含在投标报价中。</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335"/>
        <w:gridCol w:w="3540"/>
        <w:gridCol w:w="2490"/>
      </w:tblGrid>
      <w:tr w14:paraId="038D5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7" w:hRule="atLeast"/>
          <w:jc w:val="center"/>
        </w:trPr>
        <w:tc>
          <w:tcPr>
            <w:tcW w:w="1335" w:type="dxa"/>
            <w:tcBorders>
              <w:top w:val="single" w:color="auto" w:sz="4" w:space="0"/>
              <w:left w:val="single" w:color="auto" w:sz="4" w:space="0"/>
              <w:bottom w:val="single" w:color="auto" w:sz="4" w:space="0"/>
              <w:right w:val="single" w:color="auto" w:sz="4" w:space="0"/>
            </w:tcBorders>
            <w:shd w:val="clear" w:color="auto" w:fill="auto"/>
            <w:vAlign w:val="top"/>
          </w:tcPr>
          <w:p w14:paraId="6423E4CC">
            <w:pPr>
              <w:pStyle w:val="37"/>
              <w:keepNext w:val="0"/>
              <w:keepLines w:val="0"/>
              <w:widowControl w:val="0"/>
              <w:suppressLineNumbers w:val="0"/>
              <w:spacing w:line="360" w:lineRule="auto"/>
              <w:ind w:left="0" w:firstLine="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序号</w:t>
            </w:r>
          </w:p>
        </w:tc>
        <w:tc>
          <w:tcPr>
            <w:tcW w:w="3540" w:type="dxa"/>
            <w:tcBorders>
              <w:top w:val="single" w:color="auto" w:sz="4" w:space="0"/>
              <w:left w:val="single" w:color="auto" w:sz="4" w:space="0"/>
              <w:bottom w:val="single" w:color="auto" w:sz="4" w:space="0"/>
              <w:right w:val="single" w:color="auto" w:sz="4" w:space="0"/>
            </w:tcBorders>
            <w:shd w:val="clear" w:color="auto" w:fill="auto"/>
            <w:vAlign w:val="top"/>
          </w:tcPr>
          <w:p w14:paraId="46B9AE46">
            <w:pPr>
              <w:pStyle w:val="37"/>
              <w:keepNext w:val="0"/>
              <w:keepLines w:val="0"/>
              <w:widowControl w:val="0"/>
              <w:suppressLineNumbers w:val="0"/>
              <w:spacing w:line="360" w:lineRule="auto"/>
              <w:ind w:left="0" w:firstLine="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设备名称</w:t>
            </w:r>
          </w:p>
        </w:tc>
        <w:tc>
          <w:tcPr>
            <w:tcW w:w="2490" w:type="dxa"/>
            <w:tcBorders>
              <w:top w:val="single" w:color="auto" w:sz="4" w:space="0"/>
              <w:left w:val="single" w:color="auto" w:sz="4" w:space="0"/>
              <w:bottom w:val="single" w:color="auto" w:sz="4" w:space="0"/>
              <w:right w:val="single" w:color="auto" w:sz="4" w:space="0"/>
            </w:tcBorders>
            <w:shd w:val="clear" w:color="auto" w:fill="auto"/>
            <w:vAlign w:val="top"/>
          </w:tcPr>
          <w:p w14:paraId="608409DF">
            <w:pPr>
              <w:pStyle w:val="37"/>
              <w:keepNext w:val="0"/>
              <w:keepLines w:val="0"/>
              <w:widowControl w:val="0"/>
              <w:suppressLineNumbers w:val="0"/>
              <w:spacing w:line="360" w:lineRule="auto"/>
              <w:ind w:left="0" w:firstLine="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数量</w:t>
            </w:r>
          </w:p>
        </w:tc>
      </w:tr>
      <w:tr w14:paraId="4490B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335" w:type="dxa"/>
            <w:tcBorders>
              <w:top w:val="single" w:color="auto" w:sz="4" w:space="0"/>
              <w:left w:val="single" w:color="auto" w:sz="4" w:space="0"/>
              <w:bottom w:val="single" w:color="auto" w:sz="4" w:space="0"/>
              <w:right w:val="single" w:color="auto" w:sz="4" w:space="0"/>
            </w:tcBorders>
            <w:shd w:val="clear" w:color="auto" w:fill="auto"/>
            <w:vAlign w:val="center"/>
          </w:tcPr>
          <w:p w14:paraId="688274A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w:t>
            </w:r>
          </w:p>
        </w:tc>
        <w:tc>
          <w:tcPr>
            <w:tcW w:w="3540" w:type="dxa"/>
            <w:tcBorders>
              <w:top w:val="single" w:color="auto" w:sz="4" w:space="0"/>
              <w:left w:val="nil"/>
              <w:bottom w:val="single" w:color="auto" w:sz="4" w:space="0"/>
              <w:right w:val="single" w:color="auto" w:sz="4" w:space="0"/>
            </w:tcBorders>
            <w:shd w:val="clear" w:color="auto" w:fill="auto"/>
            <w:vAlign w:val="center"/>
          </w:tcPr>
          <w:p w14:paraId="64F0C1C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工作服</w:t>
            </w:r>
          </w:p>
        </w:tc>
        <w:tc>
          <w:tcPr>
            <w:tcW w:w="2490" w:type="dxa"/>
            <w:tcBorders>
              <w:top w:val="single" w:color="auto" w:sz="4" w:space="0"/>
              <w:left w:val="nil"/>
              <w:bottom w:val="single" w:color="auto" w:sz="4" w:space="0"/>
              <w:right w:val="single" w:color="auto" w:sz="4" w:space="0"/>
            </w:tcBorders>
            <w:shd w:val="clear" w:color="auto" w:fill="auto"/>
            <w:vAlign w:val="center"/>
          </w:tcPr>
          <w:p w14:paraId="1A23ED1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2套/人</w:t>
            </w:r>
          </w:p>
        </w:tc>
      </w:tr>
      <w:tr w14:paraId="43378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335" w:type="dxa"/>
            <w:tcBorders>
              <w:top w:val="single" w:color="auto" w:sz="4" w:space="0"/>
              <w:left w:val="single" w:color="auto" w:sz="4" w:space="0"/>
              <w:bottom w:val="single" w:color="auto" w:sz="4" w:space="0"/>
              <w:right w:val="single" w:color="auto" w:sz="4" w:space="0"/>
            </w:tcBorders>
            <w:shd w:val="clear" w:color="auto" w:fill="auto"/>
            <w:vAlign w:val="center"/>
          </w:tcPr>
          <w:p w14:paraId="1760F12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w:t>
            </w:r>
          </w:p>
        </w:tc>
        <w:tc>
          <w:tcPr>
            <w:tcW w:w="3540" w:type="dxa"/>
            <w:tcBorders>
              <w:top w:val="single" w:color="auto" w:sz="4" w:space="0"/>
              <w:left w:val="nil"/>
              <w:bottom w:val="single" w:color="auto" w:sz="4" w:space="0"/>
              <w:right w:val="single" w:color="auto" w:sz="4" w:space="0"/>
            </w:tcBorders>
            <w:shd w:val="clear" w:color="auto" w:fill="auto"/>
            <w:vAlign w:val="center"/>
          </w:tcPr>
          <w:p w14:paraId="01996BF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安全帽</w:t>
            </w:r>
          </w:p>
        </w:tc>
        <w:tc>
          <w:tcPr>
            <w:tcW w:w="2490" w:type="dxa"/>
            <w:tcBorders>
              <w:top w:val="single" w:color="auto" w:sz="4" w:space="0"/>
              <w:left w:val="nil"/>
              <w:bottom w:val="single" w:color="auto" w:sz="4" w:space="0"/>
              <w:right w:val="single" w:color="auto" w:sz="4" w:space="0"/>
            </w:tcBorders>
            <w:shd w:val="clear" w:color="auto" w:fill="auto"/>
            <w:vAlign w:val="center"/>
          </w:tcPr>
          <w:p w14:paraId="6A125F2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1个/人</w:t>
            </w:r>
          </w:p>
        </w:tc>
      </w:tr>
      <w:tr w14:paraId="3B905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7" w:hRule="atLeast"/>
          <w:jc w:val="center"/>
        </w:trPr>
        <w:tc>
          <w:tcPr>
            <w:tcW w:w="1335" w:type="dxa"/>
            <w:tcBorders>
              <w:top w:val="single" w:color="auto" w:sz="4" w:space="0"/>
              <w:left w:val="single" w:color="auto" w:sz="4" w:space="0"/>
              <w:bottom w:val="single" w:color="auto" w:sz="4" w:space="0"/>
              <w:right w:val="single" w:color="auto" w:sz="4" w:space="0"/>
            </w:tcBorders>
            <w:shd w:val="clear" w:color="auto" w:fill="auto"/>
            <w:vAlign w:val="center"/>
          </w:tcPr>
          <w:p w14:paraId="717D4C6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w:t>
            </w:r>
          </w:p>
        </w:tc>
        <w:tc>
          <w:tcPr>
            <w:tcW w:w="3540" w:type="dxa"/>
            <w:tcBorders>
              <w:top w:val="single" w:color="auto" w:sz="4" w:space="0"/>
              <w:left w:val="nil"/>
              <w:bottom w:val="single" w:color="auto" w:sz="4" w:space="0"/>
              <w:right w:val="single" w:color="auto" w:sz="4" w:space="0"/>
            </w:tcBorders>
            <w:shd w:val="clear" w:color="auto" w:fill="auto"/>
            <w:vAlign w:val="center"/>
          </w:tcPr>
          <w:p w14:paraId="572E619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劳保鞋</w:t>
            </w:r>
          </w:p>
        </w:tc>
        <w:tc>
          <w:tcPr>
            <w:tcW w:w="2490" w:type="dxa"/>
            <w:tcBorders>
              <w:top w:val="single" w:color="auto" w:sz="4" w:space="0"/>
              <w:left w:val="nil"/>
              <w:bottom w:val="single" w:color="auto" w:sz="4" w:space="0"/>
              <w:right w:val="single" w:color="auto" w:sz="4" w:space="0"/>
            </w:tcBorders>
            <w:shd w:val="clear" w:color="auto" w:fill="auto"/>
            <w:vAlign w:val="center"/>
          </w:tcPr>
          <w:p w14:paraId="1DD9B63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2双/人</w:t>
            </w:r>
          </w:p>
        </w:tc>
      </w:tr>
      <w:tr w14:paraId="6BF25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335" w:type="dxa"/>
            <w:tcBorders>
              <w:top w:val="single" w:color="auto" w:sz="4" w:space="0"/>
              <w:left w:val="single" w:color="auto" w:sz="4" w:space="0"/>
              <w:bottom w:val="single" w:color="auto" w:sz="4" w:space="0"/>
              <w:right w:val="single" w:color="auto" w:sz="4" w:space="0"/>
            </w:tcBorders>
            <w:shd w:val="clear" w:color="auto" w:fill="auto"/>
            <w:vAlign w:val="center"/>
          </w:tcPr>
          <w:p w14:paraId="6536AB1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w:t>
            </w:r>
          </w:p>
        </w:tc>
        <w:tc>
          <w:tcPr>
            <w:tcW w:w="3540" w:type="dxa"/>
            <w:tcBorders>
              <w:top w:val="single" w:color="auto" w:sz="4" w:space="0"/>
              <w:left w:val="nil"/>
              <w:bottom w:val="single" w:color="auto" w:sz="4" w:space="0"/>
              <w:right w:val="single" w:color="auto" w:sz="4" w:space="0"/>
            </w:tcBorders>
            <w:shd w:val="clear" w:color="auto" w:fill="auto"/>
            <w:vAlign w:val="center"/>
          </w:tcPr>
          <w:p w14:paraId="4EC6D32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执法仪</w:t>
            </w:r>
          </w:p>
        </w:tc>
        <w:tc>
          <w:tcPr>
            <w:tcW w:w="2490" w:type="dxa"/>
            <w:tcBorders>
              <w:top w:val="single" w:color="auto" w:sz="4" w:space="0"/>
              <w:left w:val="nil"/>
              <w:bottom w:val="single" w:color="auto" w:sz="4" w:space="0"/>
              <w:right w:val="single" w:color="auto" w:sz="4" w:space="0"/>
            </w:tcBorders>
            <w:shd w:val="clear" w:color="auto" w:fill="auto"/>
            <w:vAlign w:val="center"/>
          </w:tcPr>
          <w:p w14:paraId="3705321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1个/人</w:t>
            </w:r>
          </w:p>
        </w:tc>
      </w:tr>
      <w:tr w14:paraId="5C472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7" w:hRule="atLeast"/>
          <w:jc w:val="center"/>
        </w:trPr>
        <w:tc>
          <w:tcPr>
            <w:tcW w:w="1335" w:type="dxa"/>
            <w:tcBorders>
              <w:top w:val="single" w:color="auto" w:sz="4" w:space="0"/>
              <w:left w:val="single" w:color="auto" w:sz="4" w:space="0"/>
              <w:bottom w:val="single" w:color="auto" w:sz="4" w:space="0"/>
              <w:right w:val="single" w:color="auto" w:sz="4" w:space="0"/>
            </w:tcBorders>
            <w:shd w:val="clear" w:color="auto" w:fill="auto"/>
            <w:vAlign w:val="center"/>
          </w:tcPr>
          <w:p w14:paraId="4A00797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5</w:t>
            </w:r>
          </w:p>
        </w:tc>
        <w:tc>
          <w:tcPr>
            <w:tcW w:w="3540" w:type="dxa"/>
            <w:tcBorders>
              <w:top w:val="single" w:color="auto" w:sz="4" w:space="0"/>
              <w:left w:val="nil"/>
              <w:bottom w:val="single" w:color="auto" w:sz="4" w:space="0"/>
              <w:right w:val="single" w:color="auto" w:sz="4" w:space="0"/>
            </w:tcBorders>
            <w:shd w:val="clear" w:color="auto" w:fill="auto"/>
            <w:vAlign w:val="center"/>
          </w:tcPr>
          <w:p w14:paraId="6188DCA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巡查车辆</w:t>
            </w:r>
          </w:p>
        </w:tc>
        <w:tc>
          <w:tcPr>
            <w:tcW w:w="2490" w:type="dxa"/>
            <w:tcBorders>
              <w:top w:val="single" w:color="auto" w:sz="4" w:space="0"/>
              <w:left w:val="nil"/>
              <w:bottom w:val="single" w:color="auto" w:sz="4" w:space="0"/>
              <w:right w:val="single" w:color="auto" w:sz="4" w:space="0"/>
            </w:tcBorders>
            <w:shd w:val="clear" w:color="auto" w:fill="auto"/>
            <w:vAlign w:val="center"/>
          </w:tcPr>
          <w:p w14:paraId="52BE91F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1辆</w:t>
            </w:r>
          </w:p>
        </w:tc>
      </w:tr>
      <w:tr w14:paraId="790EA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7" w:hRule="atLeast"/>
          <w:jc w:val="center"/>
        </w:trPr>
        <w:tc>
          <w:tcPr>
            <w:tcW w:w="1335" w:type="dxa"/>
            <w:tcBorders>
              <w:top w:val="single" w:color="auto" w:sz="4" w:space="0"/>
              <w:left w:val="single" w:color="auto" w:sz="4" w:space="0"/>
              <w:bottom w:val="single" w:color="auto" w:sz="4" w:space="0"/>
              <w:right w:val="single" w:color="auto" w:sz="4" w:space="0"/>
            </w:tcBorders>
            <w:shd w:val="clear" w:color="auto" w:fill="auto"/>
            <w:vAlign w:val="center"/>
          </w:tcPr>
          <w:p w14:paraId="2B6BFA7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6</w:t>
            </w:r>
          </w:p>
        </w:tc>
        <w:tc>
          <w:tcPr>
            <w:tcW w:w="3540" w:type="dxa"/>
            <w:tcBorders>
              <w:top w:val="single" w:color="auto" w:sz="4" w:space="0"/>
              <w:left w:val="nil"/>
              <w:bottom w:val="single" w:color="auto" w:sz="4" w:space="0"/>
              <w:right w:val="single" w:color="auto" w:sz="4" w:space="0"/>
            </w:tcBorders>
            <w:shd w:val="clear" w:color="auto" w:fill="auto"/>
            <w:vAlign w:val="center"/>
          </w:tcPr>
          <w:p w14:paraId="27F1094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电脑</w:t>
            </w:r>
          </w:p>
        </w:tc>
        <w:tc>
          <w:tcPr>
            <w:tcW w:w="2490" w:type="dxa"/>
            <w:tcBorders>
              <w:top w:val="single" w:color="auto" w:sz="4" w:space="0"/>
              <w:left w:val="nil"/>
              <w:bottom w:val="single" w:color="auto" w:sz="4" w:space="0"/>
              <w:right w:val="single" w:color="auto" w:sz="4" w:space="0"/>
            </w:tcBorders>
            <w:shd w:val="clear" w:color="auto" w:fill="auto"/>
            <w:vAlign w:val="center"/>
          </w:tcPr>
          <w:p w14:paraId="457EB51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1台/人</w:t>
            </w:r>
          </w:p>
        </w:tc>
      </w:tr>
      <w:tr w14:paraId="69E5D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335" w:type="dxa"/>
            <w:tcBorders>
              <w:top w:val="single" w:color="auto" w:sz="4" w:space="0"/>
              <w:left w:val="single" w:color="auto" w:sz="4" w:space="0"/>
              <w:bottom w:val="single" w:color="auto" w:sz="4" w:space="0"/>
              <w:right w:val="single" w:color="auto" w:sz="4" w:space="0"/>
            </w:tcBorders>
            <w:shd w:val="clear" w:color="auto" w:fill="auto"/>
            <w:vAlign w:val="center"/>
          </w:tcPr>
          <w:p w14:paraId="5E11412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7</w:t>
            </w:r>
          </w:p>
        </w:tc>
        <w:tc>
          <w:tcPr>
            <w:tcW w:w="3540" w:type="dxa"/>
            <w:tcBorders>
              <w:top w:val="single" w:color="auto" w:sz="4" w:space="0"/>
              <w:left w:val="nil"/>
              <w:bottom w:val="single" w:color="auto" w:sz="4" w:space="0"/>
              <w:right w:val="single" w:color="auto" w:sz="4" w:space="0"/>
            </w:tcBorders>
            <w:shd w:val="clear" w:color="auto" w:fill="auto"/>
            <w:vAlign w:val="center"/>
          </w:tcPr>
          <w:p w14:paraId="07F5AE7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打印机</w:t>
            </w:r>
          </w:p>
        </w:tc>
        <w:tc>
          <w:tcPr>
            <w:tcW w:w="2490" w:type="dxa"/>
            <w:tcBorders>
              <w:top w:val="single" w:color="auto" w:sz="4" w:space="0"/>
              <w:left w:val="nil"/>
              <w:bottom w:val="single" w:color="auto" w:sz="4" w:space="0"/>
              <w:right w:val="single" w:color="auto" w:sz="4" w:space="0"/>
            </w:tcBorders>
            <w:shd w:val="clear" w:color="auto" w:fill="auto"/>
            <w:vAlign w:val="center"/>
          </w:tcPr>
          <w:p w14:paraId="6AA1630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1台</w:t>
            </w:r>
          </w:p>
        </w:tc>
      </w:tr>
      <w:tr w14:paraId="32A54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335" w:type="dxa"/>
            <w:tcBorders>
              <w:top w:val="single" w:color="auto" w:sz="4" w:space="0"/>
              <w:left w:val="single" w:color="auto" w:sz="4" w:space="0"/>
              <w:bottom w:val="single" w:color="auto" w:sz="4" w:space="0"/>
              <w:right w:val="single" w:color="auto" w:sz="4" w:space="0"/>
            </w:tcBorders>
            <w:shd w:val="clear" w:color="auto" w:fill="auto"/>
            <w:vAlign w:val="center"/>
          </w:tcPr>
          <w:p w14:paraId="7B296CD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8</w:t>
            </w:r>
          </w:p>
        </w:tc>
        <w:tc>
          <w:tcPr>
            <w:tcW w:w="3540" w:type="dxa"/>
            <w:tcBorders>
              <w:top w:val="single" w:color="auto" w:sz="4" w:space="0"/>
              <w:left w:val="nil"/>
              <w:bottom w:val="single" w:color="auto" w:sz="4" w:space="0"/>
              <w:right w:val="single" w:color="auto" w:sz="4" w:space="0"/>
            </w:tcBorders>
            <w:shd w:val="clear" w:color="auto" w:fill="auto"/>
            <w:vAlign w:val="center"/>
          </w:tcPr>
          <w:p w14:paraId="6104646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办公用品</w:t>
            </w:r>
          </w:p>
        </w:tc>
        <w:tc>
          <w:tcPr>
            <w:tcW w:w="2490" w:type="dxa"/>
            <w:tcBorders>
              <w:top w:val="single" w:color="auto" w:sz="4" w:space="0"/>
              <w:left w:val="nil"/>
              <w:bottom w:val="single" w:color="auto" w:sz="4" w:space="0"/>
              <w:right w:val="single" w:color="auto" w:sz="4" w:space="0"/>
            </w:tcBorders>
            <w:shd w:val="clear" w:color="auto" w:fill="auto"/>
            <w:vAlign w:val="center"/>
          </w:tcPr>
          <w:p w14:paraId="1950A6C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按照需求配置</w:t>
            </w:r>
          </w:p>
        </w:tc>
      </w:tr>
      <w:tr w14:paraId="075CB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jc w:val="center"/>
        </w:trPr>
        <w:tc>
          <w:tcPr>
            <w:tcW w:w="1335" w:type="dxa"/>
            <w:tcBorders>
              <w:top w:val="single" w:color="auto" w:sz="4" w:space="0"/>
              <w:left w:val="single" w:color="auto" w:sz="4" w:space="0"/>
              <w:bottom w:val="single" w:color="auto" w:sz="4" w:space="0"/>
              <w:right w:val="single" w:color="auto" w:sz="4" w:space="0"/>
            </w:tcBorders>
            <w:shd w:val="clear" w:color="auto" w:fill="auto"/>
            <w:vAlign w:val="center"/>
          </w:tcPr>
          <w:p w14:paraId="228E771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9</w:t>
            </w:r>
          </w:p>
        </w:tc>
        <w:tc>
          <w:tcPr>
            <w:tcW w:w="3540" w:type="dxa"/>
            <w:tcBorders>
              <w:top w:val="single" w:color="auto" w:sz="4" w:space="0"/>
              <w:left w:val="nil"/>
              <w:bottom w:val="single" w:color="auto" w:sz="4" w:space="0"/>
              <w:right w:val="single" w:color="auto" w:sz="4" w:space="0"/>
            </w:tcBorders>
            <w:shd w:val="clear" w:color="auto" w:fill="auto"/>
            <w:vAlign w:val="center"/>
          </w:tcPr>
          <w:p w14:paraId="656BAEB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其他</w:t>
            </w:r>
          </w:p>
        </w:tc>
        <w:tc>
          <w:tcPr>
            <w:tcW w:w="2490" w:type="dxa"/>
            <w:tcBorders>
              <w:top w:val="single" w:color="auto" w:sz="4" w:space="0"/>
              <w:left w:val="nil"/>
              <w:bottom w:val="single" w:color="auto" w:sz="4" w:space="0"/>
              <w:right w:val="single" w:color="auto" w:sz="4" w:space="0"/>
            </w:tcBorders>
            <w:shd w:val="clear" w:color="auto" w:fill="auto"/>
            <w:vAlign w:val="center"/>
          </w:tcPr>
          <w:p w14:paraId="3850B93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pacing w:val="0"/>
                <w:sz w:val="24"/>
                <w:szCs w:val="24"/>
                <w:highlight w:val="none"/>
              </w:rPr>
            </w:pPr>
          </w:p>
        </w:tc>
      </w:tr>
    </w:tbl>
    <w:p w14:paraId="25D79617">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82"/>
        <w:jc w:val="both"/>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（五）服务要求和标准</w:t>
      </w:r>
    </w:p>
    <w:p w14:paraId="4E475BC2">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1.特种设备安全服务要求</w:t>
      </w:r>
    </w:p>
    <w:p w14:paraId="2825A375">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7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坚持公平公正、依据充分、绩效量化、过程严谨的原则，交通食宿自理，并严格遵守中央八项规定。投标人工作人员除开展正常工作以外，不得与有关单位发生不正当的利益关系；如发生类似情况，招标人有权单方终止合同并依照合同追究相关法律责任。</w:t>
      </w:r>
    </w:p>
    <w:p w14:paraId="5398A733">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7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中标供应商对特种设备使用单位进行特种设备安全技术服务后，须建立工作台账，上传至特种设备安全信息化系统，供被排查单位及监管部门查阅下载。投标人对特种设备安全隐患问题向监管部门报告100%，并有相关记录，定期向招标人报送分析报告。</w:t>
      </w:r>
    </w:p>
    <w:p w14:paraId="7D642C30">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7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（3）对使用特种设备的单位的技术服务要求详见标准《DB33/T 2126-2018特种设备使用安全管理分类评价规范》。</w:t>
      </w:r>
    </w:p>
    <w:p w14:paraId="6C92AF51">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2.食品安全服务要求</w:t>
      </w:r>
    </w:p>
    <w:p w14:paraId="665F93C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中标供应商对服务区餐饮服务提供者季度排查覆盖率达到80%以上，发现隐患数及整改率指导调整率80%以上、关键不符合项督促调整率80%以上，关键不符合项线索向辖区市场监督管理局分局报告率100%，并有相关记录，定期向招标人报送排查结果分析报告；</w:t>
      </w:r>
    </w:p>
    <w:p w14:paraId="15C88CB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服务期内，服务区域餐饮服务提供者不发生重大群体性食品安全事故，不发生区域性、系统性食品安全风险。调查发现中标供应商未排查到位的，招标人有权立刻终止合同并依照合同追究服务单位相关法律责任； </w:t>
      </w:r>
    </w:p>
    <w:p w14:paraId="051D223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中标供应商应针对实际情况对排查人员巡查区域进行定期调换；中标供应商监督排查人员除开展正常工作以外，不得与餐饮服务单位发生不正当的利益关系；如发生类似情况，招标人有权单方终止合同并依照合同追究相关法律责任。</w:t>
      </w:r>
    </w:p>
    <w:p w14:paraId="18D7BC3A">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3.其他</w:t>
      </w:r>
    </w:p>
    <w:p w14:paraId="3B785AC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（1）为服务项目完成做好基础保障，包括但不限于组建专业团队，建立完善第三方协作管理团队的工作制度（流程管理、内部培训等）及考核标准。</w:t>
      </w:r>
    </w:p>
    <w:p w14:paraId="6CE9142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（2）中标供应商须无条件服从采购人交办的各项临时应急性任务。</w:t>
      </w:r>
    </w:p>
    <w:p w14:paraId="44840DB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（3）项目完成后，中标供应商应收集汇总交接所有工作过程中产生的相关资料供采购人验收，包含但不限于现场工作记录、图片、汇总台账、排查报告等，并注意履行保密义务 。</w:t>
      </w:r>
    </w:p>
    <w:p w14:paraId="5A81FBE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（4）中标供应商不得将项目分包、转包给其他单位或者人员，一经发现，招标人立即终止合同，任何款项不予支付。</w:t>
      </w:r>
    </w:p>
    <w:p w14:paraId="606DE98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5）中标供应商要加强对风险排查质量的管理，保证风险排查结果公正、真实，不得弄虚作假，隐瞒真实情况或帮助特种设备使用单位隐瞒事故隐患。被查使用单位安全隐患经闭环确认后如再发现存在重大安全风险隐患的，招标人将中标供应商列入招标人排查单位黑名单（现场排查后新增特种设备隐患除外）。</w:t>
      </w:r>
    </w:p>
    <w:p w14:paraId="4D6BE8D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（6）中标供应商要加强对风险排查人员的管理，中标供应商安排的风险排查人</w:t>
      </w:r>
      <w:r>
        <w:rPr>
          <w:rFonts w:hint="eastAsia" w:ascii="宋体" w:hAnsi="宋体" w:cs="宋体"/>
          <w:color w:val="auto"/>
          <w:spacing w:val="0"/>
          <w:kern w:val="0"/>
          <w:sz w:val="24"/>
          <w:szCs w:val="24"/>
          <w:highlight w:val="none"/>
          <w:lang w:val="en-US" w:eastAsia="zh-CN" w:bidi="ar"/>
        </w:rPr>
        <w:t>员在</w:t>
      </w:r>
      <w:r>
        <w:rPr>
          <w:rFonts w:hint="eastAsia" w:ascii="宋体" w:hAnsi="宋体" w:eastAsia="宋体" w:cs="宋体"/>
          <w:color w:val="auto"/>
          <w:spacing w:val="0"/>
          <w:kern w:val="0"/>
          <w:sz w:val="24"/>
          <w:szCs w:val="24"/>
          <w:highlight w:val="none"/>
          <w:lang w:val="en-US" w:eastAsia="zh-CN" w:bidi="ar"/>
        </w:rPr>
        <w:t>现场风险排查时应主动出示授权委托书、工作证，说明来意，不得以风险排查为名，向被风险排查单位收取财物或者其他好处；不得在风险排查过程中向相关单位推销产品和服务或强迫企业接受相关产品和服务；不得泄露相关单位的技术和商业秘密。</w:t>
      </w:r>
    </w:p>
    <w:p w14:paraId="7908B97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（7）中标供应商要加强对所属风险排查人员的安全教育和管理，确保风险排查过程中风险排查人员的人身安全，建议为风险排查人员购买人身意外保险。</w:t>
      </w:r>
    </w:p>
    <w:p w14:paraId="4B04ADE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（8）中标供应商应在规定时间内完成风险排查任务，并向采购方提供现场风险排查记录、整改见证资料、风险排查总结以及《风险排查情况汇总表》。</w:t>
      </w:r>
    </w:p>
    <w:p w14:paraId="7AB380A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（9）中标供应商须拥有信息分析汇总人员，能够完成特种设备使用单位安全状况分析工作。风险排查工作结束后，中标供应商应向采购方提交总结分析报告（书面两份，电子版本一份）。</w:t>
      </w:r>
    </w:p>
    <w:p w14:paraId="4760D77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（10）中标供应商必须自觉接受招标人的监督、检查和指导。</w:t>
      </w:r>
    </w:p>
    <w:p w14:paraId="40D1FC5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（11）中标供应商有保密义务，不得向除招标人外的任何单位与个人透露与排查相关的信息，否则取消其排查资格；如造成经济损失及不良影响的，追究其经济赔偿责任和法律责任。</w:t>
      </w:r>
    </w:p>
    <w:p w14:paraId="5FFB4C68">
      <w:pPr>
        <w:pStyle w:val="35"/>
        <w:keepNext w:val="0"/>
        <w:keepLines w:val="0"/>
        <w:widowControl w:val="0"/>
        <w:suppressLineNumbers w:val="0"/>
        <w:autoSpaceDE w:val="0"/>
        <w:autoSpaceDN w:val="0"/>
        <w:adjustRightInd w:val="0"/>
        <w:spacing w:before="0" w:beforeAutospacing="0" w:after="0" w:afterAutospacing="0" w:line="360" w:lineRule="auto"/>
        <w:ind w:left="0" w:right="0" w:firstLine="482"/>
        <w:jc w:val="both"/>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（六）考核标准</w:t>
      </w:r>
    </w:p>
    <w:p w14:paraId="5A651A05">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488" w:firstLine="516"/>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1.考核标准一：</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20"/>
        <w:gridCol w:w="879"/>
        <w:gridCol w:w="1509"/>
        <w:gridCol w:w="3251"/>
        <w:gridCol w:w="1905"/>
        <w:gridCol w:w="1155"/>
      </w:tblGrid>
      <w:tr w14:paraId="0DB62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99" w:hRule="atLeast"/>
          <w:jc w:val="center"/>
        </w:trPr>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14:paraId="40A1AD34">
            <w:pPr>
              <w:pStyle w:val="35"/>
              <w:keepNext w:val="0"/>
              <w:keepLines w:val="0"/>
              <w:pageBreakBefore w:val="0"/>
              <w:widowControl w:val="0"/>
              <w:suppressLineNumbers w:val="0"/>
              <w:kinsoku/>
              <w:wordWrap/>
              <w:overflowPunct/>
              <w:topLinePunct w:val="0"/>
              <w:autoSpaceDE w:val="0"/>
              <w:autoSpaceDN w:val="0"/>
              <w:bidi w:val="0"/>
              <w:adjustRightInd w:val="0"/>
              <w:snapToGrid/>
              <w:spacing w:before="188" w:beforeAutospacing="0" w:after="0" w:afterAutospacing="0" w:line="360" w:lineRule="auto"/>
              <w:ind w:left="0" w:right="136"/>
              <w:jc w:val="center"/>
              <w:textAlignment w:val="auto"/>
              <w:rPr>
                <w:rFonts w:hint="eastAsia" w:ascii="宋体" w:hAnsi="宋体" w:eastAsia="宋体" w:cs="宋体"/>
                <w:b/>
                <w:bCs/>
                <w:color w:val="auto"/>
                <w:spacing w:val="0"/>
                <w:kern w:val="0"/>
                <w:sz w:val="24"/>
                <w:szCs w:val="24"/>
                <w:highlight w:val="none"/>
                <w:lang w:val="en-US" w:eastAsia="zh-CN" w:bidi="ar"/>
              </w:rPr>
            </w:pPr>
            <w:r>
              <w:rPr>
                <w:rFonts w:hint="eastAsia" w:ascii="宋体" w:hAnsi="宋体" w:eastAsia="宋体" w:cs="宋体"/>
                <w:b/>
                <w:bCs/>
                <w:color w:val="auto"/>
                <w:spacing w:val="0"/>
                <w:kern w:val="0"/>
                <w:sz w:val="24"/>
                <w:szCs w:val="24"/>
                <w:highlight w:val="none"/>
                <w:lang w:val="en-US" w:eastAsia="zh-CN" w:bidi="ar"/>
              </w:rPr>
              <w:t>类别</w:t>
            </w:r>
          </w:p>
        </w:tc>
        <w:tc>
          <w:tcPr>
            <w:tcW w:w="879" w:type="dxa"/>
            <w:tcBorders>
              <w:top w:val="single" w:color="auto" w:sz="4" w:space="0"/>
              <w:left w:val="single" w:color="auto" w:sz="4" w:space="0"/>
              <w:bottom w:val="single" w:color="auto" w:sz="4" w:space="0"/>
              <w:right w:val="single" w:color="auto" w:sz="4" w:space="0"/>
            </w:tcBorders>
            <w:shd w:val="clear" w:color="auto" w:fill="auto"/>
            <w:vAlign w:val="center"/>
          </w:tcPr>
          <w:p w14:paraId="6823E1B9">
            <w:pPr>
              <w:pStyle w:val="35"/>
              <w:keepNext w:val="0"/>
              <w:keepLines w:val="0"/>
              <w:pageBreakBefore w:val="0"/>
              <w:widowControl w:val="0"/>
              <w:suppressLineNumbers w:val="0"/>
              <w:kinsoku/>
              <w:wordWrap/>
              <w:overflowPunct/>
              <w:topLinePunct w:val="0"/>
              <w:autoSpaceDE w:val="0"/>
              <w:autoSpaceDN w:val="0"/>
              <w:bidi w:val="0"/>
              <w:adjustRightInd w:val="0"/>
              <w:snapToGrid/>
              <w:spacing w:before="188" w:beforeAutospacing="0" w:after="0" w:afterAutospacing="0" w:line="360" w:lineRule="auto"/>
              <w:ind w:left="0" w:right="136"/>
              <w:jc w:val="center"/>
              <w:textAlignment w:val="auto"/>
              <w:rPr>
                <w:rFonts w:hint="eastAsia" w:ascii="宋体" w:hAnsi="宋体" w:eastAsia="宋体" w:cs="宋体"/>
                <w:b/>
                <w:bCs/>
                <w:color w:val="auto"/>
                <w:spacing w:val="0"/>
                <w:kern w:val="0"/>
                <w:sz w:val="24"/>
                <w:szCs w:val="24"/>
                <w:highlight w:val="none"/>
                <w:lang w:val="en-US" w:eastAsia="zh-CN" w:bidi="ar"/>
              </w:rPr>
            </w:pPr>
            <w:r>
              <w:rPr>
                <w:rFonts w:hint="eastAsia" w:ascii="宋体" w:hAnsi="宋体" w:eastAsia="宋体" w:cs="宋体"/>
                <w:b/>
                <w:bCs/>
                <w:color w:val="auto"/>
                <w:spacing w:val="0"/>
                <w:kern w:val="0"/>
                <w:sz w:val="24"/>
                <w:szCs w:val="24"/>
                <w:highlight w:val="none"/>
                <w:lang w:val="en-US" w:eastAsia="zh-CN" w:bidi="ar"/>
              </w:rPr>
              <w:t>项目</w:t>
            </w:r>
          </w:p>
        </w:tc>
        <w:tc>
          <w:tcPr>
            <w:tcW w:w="1509" w:type="dxa"/>
            <w:tcBorders>
              <w:top w:val="single" w:color="auto" w:sz="4" w:space="0"/>
              <w:left w:val="single" w:color="auto" w:sz="4" w:space="0"/>
              <w:bottom w:val="single" w:color="auto" w:sz="4" w:space="0"/>
              <w:right w:val="single" w:color="auto" w:sz="4" w:space="0"/>
            </w:tcBorders>
            <w:shd w:val="clear" w:color="auto" w:fill="auto"/>
            <w:vAlign w:val="center"/>
          </w:tcPr>
          <w:p w14:paraId="70DAD7E4">
            <w:pPr>
              <w:pStyle w:val="35"/>
              <w:keepNext w:val="0"/>
              <w:keepLines w:val="0"/>
              <w:pageBreakBefore w:val="0"/>
              <w:widowControl w:val="0"/>
              <w:suppressLineNumbers w:val="0"/>
              <w:kinsoku/>
              <w:wordWrap/>
              <w:overflowPunct/>
              <w:topLinePunct w:val="0"/>
              <w:autoSpaceDE w:val="0"/>
              <w:autoSpaceDN w:val="0"/>
              <w:bidi w:val="0"/>
              <w:adjustRightInd w:val="0"/>
              <w:snapToGrid/>
              <w:spacing w:before="188" w:beforeAutospacing="0" w:after="0" w:afterAutospacing="0" w:line="360" w:lineRule="auto"/>
              <w:ind w:left="0" w:right="136"/>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目标</w:t>
            </w:r>
          </w:p>
        </w:tc>
        <w:tc>
          <w:tcPr>
            <w:tcW w:w="3251" w:type="dxa"/>
            <w:tcBorders>
              <w:top w:val="single" w:color="auto" w:sz="4" w:space="0"/>
              <w:left w:val="single" w:color="auto" w:sz="4" w:space="0"/>
              <w:bottom w:val="single" w:color="auto" w:sz="4" w:space="0"/>
              <w:right w:val="single" w:color="auto" w:sz="4" w:space="0"/>
            </w:tcBorders>
            <w:shd w:val="clear" w:color="auto" w:fill="auto"/>
            <w:vAlign w:val="center"/>
          </w:tcPr>
          <w:p w14:paraId="44009017">
            <w:pPr>
              <w:pStyle w:val="35"/>
              <w:keepNext w:val="0"/>
              <w:keepLines w:val="0"/>
              <w:pageBreakBefore w:val="0"/>
              <w:widowControl w:val="0"/>
              <w:suppressLineNumbers w:val="0"/>
              <w:kinsoku/>
              <w:wordWrap/>
              <w:overflowPunct/>
              <w:topLinePunct w:val="0"/>
              <w:autoSpaceDE w:val="0"/>
              <w:autoSpaceDN w:val="0"/>
              <w:bidi w:val="0"/>
              <w:adjustRightInd w:val="0"/>
              <w:snapToGrid/>
              <w:spacing w:before="188" w:beforeAutospacing="0" w:after="0" w:afterAutospacing="0" w:line="360" w:lineRule="auto"/>
              <w:ind w:left="0" w:right="486"/>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KPI指标</w:t>
            </w:r>
          </w:p>
        </w:tc>
        <w:tc>
          <w:tcPr>
            <w:tcW w:w="1905" w:type="dxa"/>
            <w:tcBorders>
              <w:top w:val="single" w:color="auto" w:sz="4" w:space="0"/>
              <w:left w:val="single" w:color="auto" w:sz="4" w:space="0"/>
              <w:bottom w:val="single" w:color="auto" w:sz="4" w:space="0"/>
              <w:right w:val="single" w:color="auto" w:sz="4" w:space="0"/>
            </w:tcBorders>
            <w:shd w:val="clear" w:color="auto" w:fill="auto"/>
            <w:vAlign w:val="center"/>
          </w:tcPr>
          <w:p w14:paraId="189C5D60">
            <w:pPr>
              <w:pStyle w:val="35"/>
              <w:keepNext w:val="0"/>
              <w:keepLines w:val="0"/>
              <w:pageBreakBefore w:val="0"/>
              <w:widowControl w:val="0"/>
              <w:suppressLineNumbers w:val="0"/>
              <w:kinsoku/>
              <w:wordWrap/>
              <w:overflowPunct/>
              <w:topLinePunct w:val="0"/>
              <w:autoSpaceDE w:val="0"/>
              <w:autoSpaceDN w:val="0"/>
              <w:bidi w:val="0"/>
              <w:adjustRightInd w:val="0"/>
              <w:snapToGrid/>
              <w:spacing w:before="188" w:beforeAutospacing="0" w:after="0" w:afterAutospacing="0" w:line="360" w:lineRule="auto"/>
              <w:ind w:left="0" w:right="486"/>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考核细则</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43BB7324">
            <w:pPr>
              <w:pStyle w:val="35"/>
              <w:keepNext w:val="0"/>
              <w:keepLines w:val="0"/>
              <w:pageBreakBefore w:val="0"/>
              <w:widowControl w:val="0"/>
              <w:suppressLineNumbers w:val="0"/>
              <w:tabs>
                <w:tab w:val="left" w:pos="840"/>
                <w:tab w:val="left" w:pos="1060"/>
              </w:tabs>
              <w:kinsoku/>
              <w:wordWrap/>
              <w:overflowPunct/>
              <w:topLinePunct w:val="0"/>
              <w:autoSpaceDE w:val="0"/>
              <w:autoSpaceDN w:val="0"/>
              <w:bidi w:val="0"/>
              <w:adjustRightInd w:val="0"/>
              <w:snapToGrid/>
              <w:spacing w:before="188" w:beforeAutospacing="0" w:after="0" w:afterAutospacing="0" w:line="360" w:lineRule="auto"/>
              <w:ind w:left="0" w:right="99"/>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备注</w:t>
            </w:r>
          </w:p>
        </w:tc>
      </w:tr>
      <w:tr w14:paraId="7C230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0" w:type="dxa"/>
            <w:vMerge w:val="restart"/>
            <w:tcBorders>
              <w:top w:val="nil"/>
              <w:left w:val="single" w:color="auto" w:sz="4" w:space="0"/>
              <w:bottom w:val="single" w:color="auto" w:sz="4" w:space="0"/>
              <w:right w:val="single" w:color="auto" w:sz="4" w:space="0"/>
            </w:tcBorders>
            <w:shd w:val="clear" w:color="auto" w:fill="auto"/>
            <w:vAlign w:val="center"/>
          </w:tcPr>
          <w:p w14:paraId="24201F1E">
            <w:pPr>
              <w:pStyle w:val="35"/>
              <w:keepNext w:val="0"/>
              <w:keepLines w:val="0"/>
              <w:pageBreakBefore w:val="0"/>
              <w:widowControl w:val="0"/>
              <w:suppressLineNumbers w:val="0"/>
              <w:kinsoku/>
              <w:wordWrap/>
              <w:overflowPunct/>
              <w:topLinePunct w:val="0"/>
              <w:autoSpaceDE w:val="0"/>
              <w:autoSpaceDN w:val="0"/>
              <w:bidi w:val="0"/>
              <w:adjustRightInd w:val="0"/>
              <w:snapToGrid/>
              <w:spacing w:before="188" w:beforeAutospacing="0" w:after="0" w:afterAutospacing="0" w:line="360" w:lineRule="auto"/>
              <w:ind w:left="0" w:right="486"/>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业务工作</w:t>
            </w:r>
          </w:p>
        </w:tc>
        <w:tc>
          <w:tcPr>
            <w:tcW w:w="879" w:type="dxa"/>
            <w:vMerge w:val="restart"/>
            <w:tcBorders>
              <w:top w:val="nil"/>
              <w:left w:val="nil"/>
              <w:bottom w:val="single" w:color="auto" w:sz="4" w:space="0"/>
              <w:right w:val="single" w:color="auto" w:sz="4" w:space="0"/>
            </w:tcBorders>
            <w:shd w:val="clear" w:color="auto" w:fill="auto"/>
            <w:vAlign w:val="center"/>
          </w:tcPr>
          <w:p w14:paraId="6D7D6A64">
            <w:pPr>
              <w:pStyle w:val="35"/>
              <w:keepNext w:val="0"/>
              <w:keepLines w:val="0"/>
              <w:pageBreakBefore w:val="0"/>
              <w:widowControl w:val="0"/>
              <w:suppressLineNumbers w:val="0"/>
              <w:tabs>
                <w:tab w:val="left" w:pos="1060"/>
              </w:tabs>
              <w:kinsoku/>
              <w:wordWrap/>
              <w:overflowPunct/>
              <w:topLinePunct w:val="0"/>
              <w:autoSpaceDE w:val="0"/>
              <w:autoSpaceDN w:val="0"/>
              <w:bidi w:val="0"/>
              <w:adjustRightInd w:val="0"/>
              <w:snapToGrid/>
              <w:spacing w:before="188" w:beforeAutospacing="0" w:after="0" w:afterAutospacing="0" w:line="360" w:lineRule="auto"/>
              <w:ind w:left="0" w:right="-38"/>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特种设备安全服务</w:t>
            </w:r>
          </w:p>
        </w:tc>
        <w:tc>
          <w:tcPr>
            <w:tcW w:w="1509" w:type="dxa"/>
            <w:tcBorders>
              <w:top w:val="single" w:color="auto" w:sz="4" w:space="0"/>
              <w:left w:val="nil"/>
              <w:bottom w:val="single" w:color="auto" w:sz="4" w:space="0"/>
              <w:right w:val="single" w:color="auto" w:sz="4" w:space="0"/>
            </w:tcBorders>
            <w:shd w:val="clear" w:color="auto" w:fill="auto"/>
            <w:vAlign w:val="center"/>
          </w:tcPr>
          <w:p w14:paraId="2D98D648">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辖区全覆盖</w:t>
            </w:r>
          </w:p>
          <w:p w14:paraId="20062544">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kern w:val="0"/>
                <w:sz w:val="24"/>
                <w:szCs w:val="24"/>
                <w:highlight w:val="none"/>
                <w:lang w:val="en-US" w:eastAsia="zh-CN" w:bidi="ar"/>
              </w:rPr>
              <w:t>（</w:t>
            </w:r>
            <w:r>
              <w:rPr>
                <w:rFonts w:hint="eastAsia" w:ascii="宋体" w:hAnsi="宋体" w:eastAsia="宋体" w:cs="宋体"/>
                <w:color w:val="auto"/>
                <w:spacing w:val="0"/>
                <w:kern w:val="0"/>
                <w:sz w:val="24"/>
                <w:szCs w:val="24"/>
                <w:highlight w:val="none"/>
                <w:lang w:val="en-US" w:eastAsia="zh-CN" w:bidi="ar"/>
              </w:rPr>
              <w:t>20分）</w:t>
            </w:r>
          </w:p>
        </w:tc>
        <w:tc>
          <w:tcPr>
            <w:tcW w:w="3251" w:type="dxa"/>
            <w:tcBorders>
              <w:top w:val="single" w:color="auto" w:sz="4" w:space="0"/>
              <w:left w:val="nil"/>
              <w:bottom w:val="single" w:color="auto" w:sz="4" w:space="0"/>
              <w:right w:val="single" w:color="auto" w:sz="4" w:space="0"/>
            </w:tcBorders>
            <w:shd w:val="clear" w:color="auto" w:fill="auto"/>
            <w:vAlign w:val="center"/>
          </w:tcPr>
          <w:p w14:paraId="2FB7F3D3">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掌握辖区内的特种设备使用单位及设备的数量、使用状况；现场指导特种设备使用单位落实企业主体责任。</w:t>
            </w:r>
          </w:p>
        </w:tc>
        <w:tc>
          <w:tcPr>
            <w:tcW w:w="1905" w:type="dxa"/>
            <w:tcBorders>
              <w:top w:val="single" w:color="auto" w:sz="4" w:space="0"/>
              <w:left w:val="nil"/>
              <w:bottom w:val="single" w:color="auto" w:sz="4" w:space="0"/>
              <w:right w:val="single" w:color="auto" w:sz="4" w:space="0"/>
            </w:tcBorders>
            <w:shd w:val="clear" w:color="auto" w:fill="auto"/>
            <w:vAlign w:val="center"/>
          </w:tcPr>
          <w:p w14:paraId="6696B5E1">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涉及单位每少一家扣除0.2分</w:t>
            </w:r>
          </w:p>
        </w:tc>
        <w:tc>
          <w:tcPr>
            <w:tcW w:w="1155" w:type="dxa"/>
            <w:tcBorders>
              <w:top w:val="single" w:color="auto" w:sz="4" w:space="0"/>
              <w:left w:val="nil"/>
              <w:bottom w:val="single" w:color="auto" w:sz="4" w:space="0"/>
              <w:right w:val="single" w:color="auto" w:sz="4" w:space="0"/>
            </w:tcBorders>
            <w:shd w:val="clear" w:color="auto" w:fill="auto"/>
            <w:vAlign w:val="center"/>
          </w:tcPr>
          <w:p w14:paraId="5BE3B28E">
            <w:pPr>
              <w:pStyle w:val="35"/>
              <w:keepNext w:val="0"/>
              <w:keepLines w:val="0"/>
              <w:pageBreakBefore w:val="0"/>
              <w:widowControl w:val="0"/>
              <w:suppressLineNumbers w:val="0"/>
              <w:kinsoku/>
              <w:wordWrap/>
              <w:overflowPunct/>
              <w:topLinePunct w:val="0"/>
              <w:autoSpaceDE w:val="0"/>
              <w:autoSpaceDN w:val="0"/>
              <w:bidi w:val="0"/>
              <w:adjustRightInd w:val="0"/>
              <w:snapToGrid/>
              <w:spacing w:before="188" w:beforeAutospacing="0" w:after="0" w:afterAutospacing="0" w:line="360" w:lineRule="auto"/>
              <w:ind w:left="0" w:right="486"/>
              <w:jc w:val="both"/>
              <w:textAlignment w:val="auto"/>
              <w:rPr>
                <w:rFonts w:hint="eastAsia" w:ascii="宋体" w:hAnsi="宋体" w:eastAsia="宋体" w:cs="宋体"/>
                <w:color w:val="auto"/>
                <w:spacing w:val="0"/>
                <w:sz w:val="24"/>
                <w:szCs w:val="24"/>
                <w:highlight w:val="none"/>
              </w:rPr>
            </w:pPr>
          </w:p>
        </w:tc>
      </w:tr>
      <w:tr w14:paraId="348B8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 w:type="dxa"/>
            <w:vMerge w:val="continue"/>
            <w:tcBorders>
              <w:top w:val="nil"/>
              <w:left w:val="single" w:color="auto" w:sz="4" w:space="0"/>
              <w:bottom w:val="single" w:color="auto" w:sz="4" w:space="0"/>
              <w:right w:val="single" w:color="auto" w:sz="4" w:space="0"/>
            </w:tcBorders>
            <w:shd w:val="clear" w:color="auto" w:fill="auto"/>
            <w:vAlign w:val="center"/>
          </w:tcPr>
          <w:p w14:paraId="434F6A2A">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p>
        </w:tc>
        <w:tc>
          <w:tcPr>
            <w:tcW w:w="879" w:type="dxa"/>
            <w:vMerge w:val="continue"/>
            <w:tcBorders>
              <w:top w:val="nil"/>
              <w:left w:val="nil"/>
              <w:bottom w:val="single" w:color="auto" w:sz="4" w:space="0"/>
              <w:right w:val="single" w:color="auto" w:sz="4" w:space="0"/>
            </w:tcBorders>
            <w:shd w:val="clear" w:color="auto" w:fill="auto"/>
            <w:vAlign w:val="center"/>
          </w:tcPr>
          <w:p w14:paraId="7A91B105">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p>
        </w:tc>
        <w:tc>
          <w:tcPr>
            <w:tcW w:w="1509" w:type="dxa"/>
            <w:tcBorders>
              <w:top w:val="single" w:color="auto" w:sz="4" w:space="0"/>
              <w:left w:val="nil"/>
              <w:bottom w:val="single" w:color="auto" w:sz="4" w:space="0"/>
              <w:right w:val="single" w:color="auto" w:sz="4" w:space="0"/>
            </w:tcBorders>
            <w:shd w:val="clear" w:color="auto" w:fill="auto"/>
            <w:vAlign w:val="center"/>
          </w:tcPr>
          <w:p w14:paraId="664DDD95">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常规风险排查</w:t>
            </w:r>
          </w:p>
          <w:p w14:paraId="752BECB1">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kern w:val="0"/>
                <w:sz w:val="24"/>
                <w:szCs w:val="24"/>
                <w:highlight w:val="none"/>
                <w:lang w:val="en-US" w:eastAsia="zh-CN" w:bidi="ar"/>
              </w:rPr>
              <w:t>（</w:t>
            </w:r>
            <w:r>
              <w:rPr>
                <w:rFonts w:hint="eastAsia" w:ascii="宋体" w:hAnsi="宋体" w:eastAsia="宋体" w:cs="宋体"/>
                <w:color w:val="auto"/>
                <w:spacing w:val="0"/>
                <w:kern w:val="0"/>
                <w:sz w:val="24"/>
                <w:szCs w:val="24"/>
                <w:highlight w:val="none"/>
                <w:lang w:val="en-US" w:eastAsia="zh-CN" w:bidi="ar"/>
              </w:rPr>
              <w:t>30分）</w:t>
            </w:r>
          </w:p>
        </w:tc>
        <w:tc>
          <w:tcPr>
            <w:tcW w:w="3251" w:type="dxa"/>
            <w:tcBorders>
              <w:top w:val="single" w:color="auto" w:sz="4" w:space="0"/>
              <w:left w:val="nil"/>
              <w:bottom w:val="single" w:color="auto" w:sz="4" w:space="0"/>
              <w:right w:val="single" w:color="auto" w:sz="4" w:space="0"/>
            </w:tcBorders>
            <w:shd w:val="clear" w:color="auto" w:fill="auto"/>
            <w:vAlign w:val="center"/>
          </w:tcPr>
          <w:p w14:paraId="14720813">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对表单涉及单位的现场情况、资料文件按照法律法规，安全技术规范的要求进行有效性、一致性确认，摸排台账经梳理汇总后，报送监管部门。</w:t>
            </w:r>
          </w:p>
        </w:tc>
        <w:tc>
          <w:tcPr>
            <w:tcW w:w="1905" w:type="dxa"/>
            <w:tcBorders>
              <w:top w:val="single" w:color="auto" w:sz="4" w:space="0"/>
              <w:left w:val="nil"/>
              <w:bottom w:val="single" w:color="auto" w:sz="4" w:space="0"/>
              <w:right w:val="single" w:color="auto" w:sz="4" w:space="0"/>
            </w:tcBorders>
            <w:shd w:val="clear" w:color="auto" w:fill="auto"/>
            <w:vAlign w:val="center"/>
          </w:tcPr>
          <w:p w14:paraId="630A4DE6">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每一项闭环，有不完整项扣除0.2分</w:t>
            </w:r>
          </w:p>
        </w:tc>
        <w:tc>
          <w:tcPr>
            <w:tcW w:w="1155" w:type="dxa"/>
            <w:tcBorders>
              <w:top w:val="single" w:color="auto" w:sz="4" w:space="0"/>
              <w:left w:val="nil"/>
              <w:bottom w:val="single" w:color="auto" w:sz="4" w:space="0"/>
              <w:right w:val="single" w:color="auto" w:sz="4" w:space="0"/>
            </w:tcBorders>
            <w:shd w:val="clear" w:color="auto" w:fill="auto"/>
            <w:vAlign w:val="center"/>
          </w:tcPr>
          <w:p w14:paraId="28B65B80">
            <w:pPr>
              <w:pStyle w:val="35"/>
              <w:keepNext w:val="0"/>
              <w:keepLines w:val="0"/>
              <w:pageBreakBefore w:val="0"/>
              <w:widowControl w:val="0"/>
              <w:suppressLineNumbers w:val="0"/>
              <w:kinsoku/>
              <w:wordWrap/>
              <w:overflowPunct/>
              <w:topLinePunct w:val="0"/>
              <w:autoSpaceDE w:val="0"/>
              <w:autoSpaceDN w:val="0"/>
              <w:bidi w:val="0"/>
              <w:adjustRightInd w:val="0"/>
              <w:snapToGrid/>
              <w:spacing w:before="188" w:beforeAutospacing="0" w:after="0" w:afterAutospacing="0" w:line="360" w:lineRule="auto"/>
              <w:ind w:left="0" w:right="486"/>
              <w:jc w:val="both"/>
              <w:textAlignment w:val="auto"/>
              <w:rPr>
                <w:rFonts w:hint="eastAsia" w:ascii="宋体" w:hAnsi="宋体" w:eastAsia="宋体" w:cs="宋体"/>
                <w:color w:val="auto"/>
                <w:spacing w:val="0"/>
                <w:sz w:val="24"/>
                <w:szCs w:val="24"/>
                <w:highlight w:val="none"/>
              </w:rPr>
            </w:pPr>
          </w:p>
        </w:tc>
      </w:tr>
      <w:tr w14:paraId="35DA4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 w:type="dxa"/>
            <w:vMerge w:val="continue"/>
            <w:tcBorders>
              <w:top w:val="nil"/>
              <w:left w:val="single" w:color="auto" w:sz="4" w:space="0"/>
              <w:bottom w:val="single" w:color="auto" w:sz="4" w:space="0"/>
              <w:right w:val="single" w:color="auto" w:sz="4" w:space="0"/>
            </w:tcBorders>
            <w:shd w:val="clear" w:color="auto" w:fill="auto"/>
            <w:vAlign w:val="center"/>
          </w:tcPr>
          <w:p w14:paraId="5825369A">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p>
        </w:tc>
        <w:tc>
          <w:tcPr>
            <w:tcW w:w="879" w:type="dxa"/>
            <w:vMerge w:val="continue"/>
            <w:tcBorders>
              <w:top w:val="nil"/>
              <w:left w:val="nil"/>
              <w:bottom w:val="single" w:color="auto" w:sz="4" w:space="0"/>
              <w:right w:val="single" w:color="auto" w:sz="4" w:space="0"/>
            </w:tcBorders>
            <w:shd w:val="clear" w:color="auto" w:fill="auto"/>
            <w:vAlign w:val="center"/>
          </w:tcPr>
          <w:p w14:paraId="711F8B8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p>
        </w:tc>
        <w:tc>
          <w:tcPr>
            <w:tcW w:w="1509" w:type="dxa"/>
            <w:tcBorders>
              <w:top w:val="single" w:color="auto" w:sz="4" w:space="0"/>
              <w:left w:val="nil"/>
              <w:bottom w:val="single" w:color="auto" w:sz="4" w:space="0"/>
              <w:right w:val="single" w:color="auto" w:sz="4" w:space="0"/>
            </w:tcBorders>
            <w:shd w:val="clear" w:color="auto" w:fill="auto"/>
            <w:vAlign w:val="center"/>
          </w:tcPr>
          <w:p w14:paraId="2EF4B9BF">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专项整治工作</w:t>
            </w:r>
          </w:p>
          <w:p w14:paraId="7928C209">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kern w:val="0"/>
                <w:sz w:val="24"/>
                <w:szCs w:val="24"/>
                <w:highlight w:val="none"/>
                <w:lang w:val="en-US" w:eastAsia="zh-CN" w:bidi="ar"/>
              </w:rPr>
              <w:t>（</w:t>
            </w:r>
            <w:r>
              <w:rPr>
                <w:rFonts w:hint="eastAsia" w:ascii="宋体" w:hAnsi="宋体" w:eastAsia="宋体" w:cs="宋体"/>
                <w:color w:val="auto"/>
                <w:spacing w:val="0"/>
                <w:kern w:val="0"/>
                <w:sz w:val="24"/>
                <w:szCs w:val="24"/>
                <w:highlight w:val="none"/>
                <w:lang w:val="en-US" w:eastAsia="zh-CN" w:bidi="ar"/>
              </w:rPr>
              <w:t>35分）</w:t>
            </w:r>
          </w:p>
        </w:tc>
        <w:tc>
          <w:tcPr>
            <w:tcW w:w="3251" w:type="dxa"/>
            <w:tcBorders>
              <w:top w:val="single" w:color="auto" w:sz="4" w:space="0"/>
              <w:left w:val="nil"/>
              <w:bottom w:val="single" w:color="auto" w:sz="4" w:space="0"/>
              <w:right w:val="single" w:color="auto" w:sz="4" w:space="0"/>
            </w:tcBorders>
            <w:shd w:val="clear" w:color="auto" w:fill="auto"/>
            <w:vAlign w:val="center"/>
          </w:tcPr>
          <w:p w14:paraId="7E31FF78">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根据专项整治任务完成各项工作</w:t>
            </w:r>
          </w:p>
        </w:tc>
        <w:tc>
          <w:tcPr>
            <w:tcW w:w="1905" w:type="dxa"/>
            <w:tcBorders>
              <w:top w:val="single" w:color="auto" w:sz="4" w:space="0"/>
              <w:left w:val="nil"/>
              <w:bottom w:val="single" w:color="auto" w:sz="4" w:space="0"/>
              <w:right w:val="single" w:color="auto" w:sz="4" w:space="0"/>
            </w:tcBorders>
            <w:shd w:val="clear" w:color="auto" w:fill="auto"/>
            <w:vAlign w:val="center"/>
          </w:tcPr>
          <w:p w14:paraId="43C0FFAE">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未完成扣除0.5分</w:t>
            </w:r>
          </w:p>
        </w:tc>
        <w:tc>
          <w:tcPr>
            <w:tcW w:w="1155" w:type="dxa"/>
            <w:tcBorders>
              <w:top w:val="single" w:color="auto" w:sz="4" w:space="0"/>
              <w:left w:val="nil"/>
              <w:bottom w:val="single" w:color="auto" w:sz="4" w:space="0"/>
              <w:right w:val="single" w:color="auto" w:sz="4" w:space="0"/>
            </w:tcBorders>
            <w:shd w:val="clear" w:color="auto" w:fill="auto"/>
            <w:vAlign w:val="center"/>
          </w:tcPr>
          <w:p w14:paraId="65054EDC">
            <w:pPr>
              <w:pStyle w:val="35"/>
              <w:keepNext w:val="0"/>
              <w:keepLines w:val="0"/>
              <w:pageBreakBefore w:val="0"/>
              <w:widowControl w:val="0"/>
              <w:suppressLineNumbers w:val="0"/>
              <w:kinsoku/>
              <w:wordWrap/>
              <w:overflowPunct/>
              <w:topLinePunct w:val="0"/>
              <w:autoSpaceDE w:val="0"/>
              <w:autoSpaceDN w:val="0"/>
              <w:bidi w:val="0"/>
              <w:adjustRightInd w:val="0"/>
              <w:snapToGrid/>
              <w:spacing w:before="188" w:beforeAutospacing="0" w:after="0" w:afterAutospacing="0" w:line="360" w:lineRule="auto"/>
              <w:ind w:left="0" w:right="486"/>
              <w:jc w:val="both"/>
              <w:textAlignment w:val="auto"/>
              <w:rPr>
                <w:rFonts w:hint="eastAsia" w:ascii="宋体" w:hAnsi="宋体" w:eastAsia="宋体" w:cs="宋体"/>
                <w:color w:val="auto"/>
                <w:spacing w:val="0"/>
                <w:sz w:val="24"/>
                <w:szCs w:val="24"/>
                <w:highlight w:val="none"/>
              </w:rPr>
            </w:pPr>
          </w:p>
        </w:tc>
      </w:tr>
      <w:tr w14:paraId="56CC8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920" w:type="dxa"/>
            <w:vMerge w:val="continue"/>
            <w:tcBorders>
              <w:top w:val="nil"/>
              <w:left w:val="single" w:color="auto" w:sz="4" w:space="0"/>
              <w:bottom w:val="single" w:color="auto" w:sz="4" w:space="0"/>
              <w:right w:val="single" w:color="auto" w:sz="4" w:space="0"/>
            </w:tcBorders>
            <w:shd w:val="clear" w:color="auto" w:fill="auto"/>
            <w:vAlign w:val="center"/>
          </w:tcPr>
          <w:p w14:paraId="163763A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textAlignment w:val="auto"/>
              <w:rPr>
                <w:rFonts w:hint="eastAsia" w:ascii="宋体" w:hAnsi="宋体" w:eastAsia="宋体" w:cs="宋体"/>
                <w:color w:val="auto"/>
                <w:spacing w:val="0"/>
                <w:sz w:val="24"/>
                <w:szCs w:val="24"/>
                <w:highlight w:val="none"/>
              </w:rPr>
            </w:pPr>
          </w:p>
        </w:tc>
        <w:tc>
          <w:tcPr>
            <w:tcW w:w="879" w:type="dxa"/>
            <w:vMerge w:val="continue"/>
            <w:tcBorders>
              <w:top w:val="nil"/>
              <w:left w:val="nil"/>
              <w:bottom w:val="single" w:color="auto" w:sz="4" w:space="0"/>
              <w:right w:val="single" w:color="auto" w:sz="4" w:space="0"/>
            </w:tcBorders>
            <w:shd w:val="clear" w:color="auto" w:fill="auto"/>
            <w:vAlign w:val="center"/>
          </w:tcPr>
          <w:p w14:paraId="1C9EB6CD">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textAlignment w:val="auto"/>
              <w:rPr>
                <w:rFonts w:hint="eastAsia" w:ascii="宋体" w:hAnsi="宋体" w:eastAsia="宋体" w:cs="宋体"/>
                <w:color w:val="auto"/>
                <w:spacing w:val="0"/>
                <w:sz w:val="24"/>
                <w:szCs w:val="24"/>
                <w:highlight w:val="none"/>
              </w:rPr>
            </w:pPr>
          </w:p>
        </w:tc>
        <w:tc>
          <w:tcPr>
            <w:tcW w:w="1509" w:type="dxa"/>
            <w:tcBorders>
              <w:top w:val="single" w:color="auto" w:sz="4" w:space="0"/>
              <w:left w:val="nil"/>
              <w:bottom w:val="single" w:color="auto" w:sz="4" w:space="0"/>
              <w:right w:val="single" w:color="auto" w:sz="4" w:space="0"/>
            </w:tcBorders>
            <w:shd w:val="clear" w:color="auto" w:fill="auto"/>
            <w:vAlign w:val="center"/>
          </w:tcPr>
          <w:p w14:paraId="4A27ED7F">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排查隐患协助整改</w:t>
            </w:r>
          </w:p>
          <w:p w14:paraId="0EC3B641">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（15分）</w:t>
            </w:r>
          </w:p>
        </w:tc>
        <w:tc>
          <w:tcPr>
            <w:tcW w:w="3251" w:type="dxa"/>
            <w:tcBorders>
              <w:top w:val="single" w:color="auto" w:sz="4" w:space="0"/>
              <w:left w:val="nil"/>
              <w:bottom w:val="single" w:color="auto" w:sz="4" w:space="0"/>
              <w:right w:val="single" w:color="auto" w:sz="4" w:space="0"/>
            </w:tcBorders>
            <w:shd w:val="clear" w:color="auto" w:fill="auto"/>
            <w:vAlign w:val="center"/>
          </w:tcPr>
          <w:p w14:paraId="2F467129">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辖区内特种设备使用单位存在的安全隐患，指导企业完成安全隐患闭环；发现隐患及时上报，并协助监察人员及时处置。</w:t>
            </w:r>
          </w:p>
        </w:tc>
        <w:tc>
          <w:tcPr>
            <w:tcW w:w="1905" w:type="dxa"/>
            <w:tcBorders>
              <w:top w:val="single" w:color="auto" w:sz="4" w:space="0"/>
              <w:left w:val="nil"/>
              <w:bottom w:val="single" w:color="auto" w:sz="4" w:space="0"/>
              <w:right w:val="single" w:color="auto" w:sz="4" w:space="0"/>
            </w:tcBorders>
            <w:shd w:val="clear" w:color="auto" w:fill="auto"/>
            <w:vAlign w:val="center"/>
          </w:tcPr>
          <w:p w14:paraId="30DBEEDF">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针对安全隐患企业指导整改闭环，未完成一家企业扣0.1分</w:t>
            </w:r>
          </w:p>
        </w:tc>
        <w:tc>
          <w:tcPr>
            <w:tcW w:w="1155" w:type="dxa"/>
            <w:tcBorders>
              <w:top w:val="single" w:color="auto" w:sz="4" w:space="0"/>
              <w:left w:val="nil"/>
              <w:bottom w:val="single" w:color="auto" w:sz="4" w:space="0"/>
              <w:right w:val="single" w:color="auto" w:sz="4" w:space="0"/>
            </w:tcBorders>
            <w:shd w:val="clear" w:color="auto" w:fill="auto"/>
            <w:vAlign w:val="center"/>
          </w:tcPr>
          <w:p w14:paraId="15FDA6DC">
            <w:pPr>
              <w:pStyle w:val="35"/>
              <w:keepNext w:val="0"/>
              <w:keepLines w:val="0"/>
              <w:pageBreakBefore w:val="0"/>
              <w:widowControl w:val="0"/>
              <w:suppressLineNumbers w:val="0"/>
              <w:kinsoku/>
              <w:wordWrap/>
              <w:overflowPunct/>
              <w:topLinePunct w:val="0"/>
              <w:autoSpaceDE w:val="0"/>
              <w:autoSpaceDN w:val="0"/>
              <w:bidi w:val="0"/>
              <w:adjustRightInd w:val="0"/>
              <w:snapToGrid/>
              <w:spacing w:before="188" w:beforeAutospacing="0" w:after="0" w:afterAutospacing="0" w:line="360" w:lineRule="auto"/>
              <w:ind w:left="0" w:right="486"/>
              <w:jc w:val="both"/>
              <w:textAlignment w:val="auto"/>
              <w:rPr>
                <w:rFonts w:hint="eastAsia" w:ascii="宋体" w:hAnsi="宋体" w:eastAsia="宋体" w:cs="宋体"/>
                <w:color w:val="auto"/>
                <w:spacing w:val="0"/>
                <w:sz w:val="24"/>
                <w:szCs w:val="24"/>
                <w:highlight w:val="none"/>
              </w:rPr>
            </w:pPr>
          </w:p>
        </w:tc>
      </w:tr>
      <w:tr w14:paraId="32044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0" w:type="dxa"/>
            <w:vMerge w:val="continue"/>
            <w:tcBorders>
              <w:top w:val="nil"/>
              <w:left w:val="single" w:color="auto" w:sz="4" w:space="0"/>
              <w:bottom w:val="single" w:color="auto" w:sz="4" w:space="0"/>
              <w:right w:val="single" w:color="auto" w:sz="4" w:space="0"/>
            </w:tcBorders>
            <w:shd w:val="clear" w:color="auto" w:fill="auto"/>
            <w:vAlign w:val="center"/>
          </w:tcPr>
          <w:p w14:paraId="1236A2C8">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textAlignment w:val="auto"/>
              <w:rPr>
                <w:rFonts w:hint="eastAsia" w:ascii="宋体" w:hAnsi="宋体" w:eastAsia="宋体" w:cs="宋体"/>
                <w:color w:val="auto"/>
                <w:spacing w:val="0"/>
                <w:sz w:val="24"/>
                <w:szCs w:val="24"/>
                <w:highlight w:val="none"/>
              </w:rPr>
            </w:pPr>
          </w:p>
        </w:tc>
        <w:tc>
          <w:tcPr>
            <w:tcW w:w="879" w:type="dxa"/>
            <w:vMerge w:val="continue"/>
            <w:tcBorders>
              <w:top w:val="nil"/>
              <w:left w:val="nil"/>
              <w:bottom w:val="single" w:color="auto" w:sz="4" w:space="0"/>
              <w:right w:val="single" w:color="auto" w:sz="4" w:space="0"/>
            </w:tcBorders>
            <w:shd w:val="clear" w:color="auto" w:fill="auto"/>
            <w:vAlign w:val="center"/>
          </w:tcPr>
          <w:p w14:paraId="4B297ECC">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textAlignment w:val="auto"/>
              <w:rPr>
                <w:rFonts w:hint="eastAsia" w:ascii="宋体" w:hAnsi="宋体" w:eastAsia="宋体" w:cs="宋体"/>
                <w:color w:val="auto"/>
                <w:spacing w:val="0"/>
                <w:sz w:val="24"/>
                <w:szCs w:val="24"/>
                <w:highlight w:val="none"/>
              </w:rPr>
            </w:pPr>
          </w:p>
        </w:tc>
        <w:tc>
          <w:tcPr>
            <w:tcW w:w="1509" w:type="dxa"/>
            <w:tcBorders>
              <w:top w:val="single" w:color="auto" w:sz="4" w:space="0"/>
              <w:left w:val="nil"/>
              <w:bottom w:val="single" w:color="auto" w:sz="4" w:space="0"/>
              <w:right w:val="single" w:color="auto" w:sz="4" w:space="0"/>
            </w:tcBorders>
            <w:shd w:val="clear" w:color="auto" w:fill="auto"/>
            <w:vAlign w:val="center"/>
          </w:tcPr>
          <w:p w14:paraId="302FEBD6">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专项活动</w:t>
            </w:r>
          </w:p>
        </w:tc>
        <w:tc>
          <w:tcPr>
            <w:tcW w:w="3251" w:type="dxa"/>
            <w:tcBorders>
              <w:top w:val="single" w:color="auto" w:sz="4" w:space="0"/>
              <w:left w:val="nil"/>
              <w:bottom w:val="single" w:color="auto" w:sz="4" w:space="0"/>
              <w:right w:val="single" w:color="auto" w:sz="4" w:space="0"/>
            </w:tcBorders>
            <w:shd w:val="clear" w:color="auto" w:fill="auto"/>
            <w:vAlign w:val="center"/>
          </w:tcPr>
          <w:p w14:paraId="42C9A38A">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宣传特种设备安全，普及安全使用特种设备知识</w:t>
            </w:r>
          </w:p>
        </w:tc>
        <w:tc>
          <w:tcPr>
            <w:tcW w:w="1905" w:type="dxa"/>
            <w:tcBorders>
              <w:top w:val="single" w:color="auto" w:sz="4" w:space="0"/>
              <w:left w:val="nil"/>
              <w:bottom w:val="single" w:color="auto" w:sz="4" w:space="0"/>
              <w:right w:val="single" w:color="auto" w:sz="4" w:space="0"/>
            </w:tcBorders>
            <w:shd w:val="clear" w:color="auto" w:fill="auto"/>
            <w:vAlign w:val="center"/>
          </w:tcPr>
          <w:p w14:paraId="38D793C4">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未完成扣除0.5分</w:t>
            </w:r>
          </w:p>
        </w:tc>
        <w:tc>
          <w:tcPr>
            <w:tcW w:w="1155" w:type="dxa"/>
            <w:tcBorders>
              <w:top w:val="single" w:color="auto" w:sz="4" w:space="0"/>
              <w:left w:val="nil"/>
              <w:bottom w:val="single" w:color="auto" w:sz="4" w:space="0"/>
              <w:right w:val="single" w:color="auto" w:sz="4" w:space="0"/>
            </w:tcBorders>
            <w:shd w:val="clear" w:color="auto" w:fill="auto"/>
            <w:vAlign w:val="center"/>
          </w:tcPr>
          <w:p w14:paraId="51656A3C">
            <w:pPr>
              <w:pStyle w:val="35"/>
              <w:keepNext w:val="0"/>
              <w:keepLines w:val="0"/>
              <w:pageBreakBefore w:val="0"/>
              <w:widowControl w:val="0"/>
              <w:suppressLineNumbers w:val="0"/>
              <w:kinsoku/>
              <w:wordWrap/>
              <w:overflowPunct/>
              <w:topLinePunct w:val="0"/>
              <w:autoSpaceDE w:val="0"/>
              <w:autoSpaceDN w:val="0"/>
              <w:bidi w:val="0"/>
              <w:adjustRightInd w:val="0"/>
              <w:snapToGrid/>
              <w:spacing w:before="188" w:beforeAutospacing="0" w:after="0" w:afterAutospacing="0" w:line="360" w:lineRule="auto"/>
              <w:ind w:left="0" w:right="486"/>
              <w:jc w:val="both"/>
              <w:textAlignment w:val="auto"/>
              <w:rPr>
                <w:rFonts w:hint="eastAsia" w:ascii="宋体" w:hAnsi="宋体" w:eastAsia="宋体" w:cs="宋体"/>
                <w:color w:val="auto"/>
                <w:spacing w:val="0"/>
                <w:sz w:val="24"/>
                <w:szCs w:val="24"/>
                <w:highlight w:val="none"/>
              </w:rPr>
            </w:pPr>
          </w:p>
        </w:tc>
      </w:tr>
    </w:tbl>
    <w:p w14:paraId="2E50BD9E">
      <w:pPr>
        <w:pStyle w:val="35"/>
        <w:keepNext w:val="0"/>
        <w:keepLines w:val="0"/>
        <w:pageBreakBefore w:val="0"/>
        <w:widowControl w:val="0"/>
        <w:suppressLineNumbers w:val="0"/>
        <w:kinsoku/>
        <w:wordWrap/>
        <w:overflowPunct/>
        <w:topLinePunct w:val="0"/>
        <w:autoSpaceDE w:val="0"/>
        <w:autoSpaceDN w:val="0"/>
        <w:bidi w:val="0"/>
        <w:adjustRightInd w:val="0"/>
        <w:snapToGrid/>
        <w:spacing w:before="188" w:beforeAutospacing="0" w:after="0" w:afterAutospacing="0" w:line="360" w:lineRule="auto"/>
        <w:ind w:left="0" w:right="486" w:firstLine="258"/>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2.考核标准二：</w:t>
      </w:r>
    </w:p>
    <w:tbl>
      <w:tblPr>
        <w:tblStyle w:val="39"/>
        <w:tblW w:w="0" w:type="auto"/>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20"/>
        <w:gridCol w:w="1680"/>
        <w:gridCol w:w="2676"/>
        <w:gridCol w:w="2159"/>
        <w:gridCol w:w="1978"/>
      </w:tblGrid>
      <w:tr w14:paraId="09ED2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top"/>
          </w:tcPr>
          <w:p w14:paraId="46DE5E7C">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类别</w:t>
            </w:r>
          </w:p>
        </w:tc>
        <w:tc>
          <w:tcPr>
            <w:tcW w:w="1680" w:type="dxa"/>
            <w:tcBorders>
              <w:top w:val="single" w:color="auto" w:sz="4" w:space="0"/>
              <w:left w:val="single" w:color="auto" w:sz="4" w:space="0"/>
              <w:bottom w:val="single" w:color="auto" w:sz="4" w:space="0"/>
              <w:right w:val="single" w:color="auto" w:sz="4" w:space="0"/>
            </w:tcBorders>
            <w:shd w:val="clear" w:color="auto" w:fill="auto"/>
            <w:vAlign w:val="top"/>
          </w:tcPr>
          <w:p w14:paraId="3C0320FD">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项目</w:t>
            </w:r>
          </w:p>
        </w:tc>
        <w:tc>
          <w:tcPr>
            <w:tcW w:w="2676" w:type="dxa"/>
            <w:tcBorders>
              <w:top w:val="single" w:color="auto" w:sz="4" w:space="0"/>
              <w:left w:val="single" w:color="auto" w:sz="4" w:space="0"/>
              <w:bottom w:val="single" w:color="auto" w:sz="4" w:space="0"/>
              <w:right w:val="single" w:color="auto" w:sz="4" w:space="0"/>
            </w:tcBorders>
            <w:shd w:val="clear" w:color="auto" w:fill="auto"/>
            <w:vAlign w:val="top"/>
          </w:tcPr>
          <w:p w14:paraId="44342B8F">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目标</w:t>
            </w:r>
          </w:p>
        </w:tc>
        <w:tc>
          <w:tcPr>
            <w:tcW w:w="2159" w:type="dxa"/>
            <w:tcBorders>
              <w:top w:val="single" w:color="auto" w:sz="4" w:space="0"/>
              <w:left w:val="single" w:color="auto" w:sz="4" w:space="0"/>
              <w:bottom w:val="single" w:color="auto" w:sz="4" w:space="0"/>
              <w:right w:val="single" w:color="auto" w:sz="4" w:space="0"/>
            </w:tcBorders>
            <w:shd w:val="clear" w:color="auto" w:fill="auto"/>
            <w:vAlign w:val="top"/>
          </w:tcPr>
          <w:p w14:paraId="72E10A56">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KPI指标</w:t>
            </w:r>
          </w:p>
        </w:tc>
        <w:tc>
          <w:tcPr>
            <w:tcW w:w="1978" w:type="dxa"/>
            <w:tcBorders>
              <w:top w:val="single" w:color="auto" w:sz="4" w:space="0"/>
              <w:left w:val="single" w:color="auto" w:sz="4" w:space="0"/>
              <w:bottom w:val="single" w:color="auto" w:sz="4" w:space="0"/>
              <w:right w:val="single" w:color="auto" w:sz="4" w:space="0"/>
            </w:tcBorders>
            <w:shd w:val="clear" w:color="auto" w:fill="auto"/>
            <w:vAlign w:val="top"/>
          </w:tcPr>
          <w:p w14:paraId="2A0BB475">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考核细则</w:t>
            </w:r>
          </w:p>
        </w:tc>
      </w:tr>
      <w:tr w14:paraId="4279B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trPr>
        <w:tc>
          <w:tcPr>
            <w:tcW w:w="720" w:type="dxa"/>
            <w:vMerge w:val="restart"/>
            <w:tcBorders>
              <w:top w:val="nil"/>
              <w:left w:val="single" w:color="auto" w:sz="4" w:space="0"/>
              <w:bottom w:val="single" w:color="auto" w:sz="4" w:space="0"/>
              <w:right w:val="single" w:color="auto" w:sz="4" w:space="0"/>
            </w:tcBorders>
            <w:shd w:val="clear" w:color="auto" w:fill="auto"/>
            <w:vAlign w:val="center"/>
          </w:tcPr>
          <w:p w14:paraId="5F12A4C5">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行政规范</w:t>
            </w:r>
          </w:p>
        </w:tc>
        <w:tc>
          <w:tcPr>
            <w:tcW w:w="1680" w:type="dxa"/>
            <w:tcBorders>
              <w:top w:val="single" w:color="auto" w:sz="4" w:space="0"/>
              <w:left w:val="nil"/>
              <w:bottom w:val="single" w:color="auto" w:sz="4" w:space="0"/>
              <w:right w:val="single" w:color="auto" w:sz="4" w:space="0"/>
            </w:tcBorders>
            <w:shd w:val="clear" w:color="auto" w:fill="auto"/>
            <w:vAlign w:val="center"/>
          </w:tcPr>
          <w:p w14:paraId="4E70EAE4">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意识形态</w:t>
            </w:r>
          </w:p>
        </w:tc>
        <w:tc>
          <w:tcPr>
            <w:tcW w:w="2676" w:type="dxa"/>
            <w:tcBorders>
              <w:top w:val="single" w:color="auto" w:sz="4" w:space="0"/>
              <w:left w:val="nil"/>
              <w:bottom w:val="single" w:color="auto" w:sz="4" w:space="0"/>
              <w:right w:val="single" w:color="auto" w:sz="4" w:space="0"/>
            </w:tcBorders>
            <w:shd w:val="clear" w:color="auto" w:fill="auto"/>
            <w:vAlign w:val="center"/>
          </w:tcPr>
          <w:p w14:paraId="33C87476">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特种设备安全服务意识</w:t>
            </w:r>
          </w:p>
        </w:tc>
        <w:tc>
          <w:tcPr>
            <w:tcW w:w="2159" w:type="dxa"/>
            <w:tcBorders>
              <w:top w:val="single" w:color="auto" w:sz="4" w:space="0"/>
              <w:left w:val="nil"/>
              <w:bottom w:val="single" w:color="auto" w:sz="4" w:space="0"/>
              <w:right w:val="single" w:color="auto" w:sz="4" w:space="0"/>
            </w:tcBorders>
            <w:shd w:val="clear" w:color="auto" w:fill="auto"/>
            <w:vAlign w:val="center"/>
          </w:tcPr>
          <w:p w14:paraId="3C3BCCDF">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加强理论知识学习，及时了解掌握最新政策要求及相关规定。</w:t>
            </w:r>
          </w:p>
        </w:tc>
        <w:tc>
          <w:tcPr>
            <w:tcW w:w="1978" w:type="dxa"/>
            <w:tcBorders>
              <w:top w:val="single" w:color="auto" w:sz="4" w:space="0"/>
              <w:left w:val="nil"/>
              <w:bottom w:val="single" w:color="auto" w:sz="4" w:space="0"/>
              <w:right w:val="single" w:color="auto" w:sz="4" w:space="0"/>
            </w:tcBorders>
            <w:shd w:val="clear" w:color="auto" w:fill="auto"/>
            <w:vAlign w:val="center"/>
          </w:tcPr>
          <w:p w14:paraId="0C857CEE">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排查不及格予以处罚</w:t>
            </w:r>
          </w:p>
        </w:tc>
      </w:tr>
      <w:tr w14:paraId="022F1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6" w:hRule="atLeast"/>
        </w:trPr>
        <w:tc>
          <w:tcPr>
            <w:tcW w:w="720" w:type="dxa"/>
            <w:vMerge w:val="continue"/>
            <w:tcBorders>
              <w:top w:val="nil"/>
              <w:left w:val="single" w:color="auto" w:sz="4" w:space="0"/>
              <w:bottom w:val="single" w:color="auto" w:sz="4" w:space="0"/>
              <w:right w:val="single" w:color="auto" w:sz="4" w:space="0"/>
            </w:tcBorders>
            <w:shd w:val="clear" w:color="auto" w:fill="auto"/>
            <w:vAlign w:val="center"/>
          </w:tcPr>
          <w:p w14:paraId="1C915E63">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p>
        </w:tc>
        <w:tc>
          <w:tcPr>
            <w:tcW w:w="1680" w:type="dxa"/>
            <w:tcBorders>
              <w:top w:val="single" w:color="auto" w:sz="4" w:space="0"/>
              <w:left w:val="nil"/>
              <w:bottom w:val="single" w:color="auto" w:sz="4" w:space="0"/>
              <w:right w:val="single" w:color="auto" w:sz="4" w:space="0"/>
            </w:tcBorders>
            <w:shd w:val="clear" w:color="auto" w:fill="auto"/>
            <w:vAlign w:val="center"/>
          </w:tcPr>
          <w:p w14:paraId="6DA6B5E1">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行为规范</w:t>
            </w:r>
          </w:p>
        </w:tc>
        <w:tc>
          <w:tcPr>
            <w:tcW w:w="2676" w:type="dxa"/>
            <w:tcBorders>
              <w:top w:val="single" w:color="auto" w:sz="4" w:space="0"/>
              <w:left w:val="nil"/>
              <w:bottom w:val="single" w:color="auto" w:sz="4" w:space="0"/>
              <w:right w:val="single" w:color="auto" w:sz="4" w:space="0"/>
            </w:tcBorders>
            <w:shd w:val="clear" w:color="auto" w:fill="auto"/>
            <w:vAlign w:val="center"/>
          </w:tcPr>
          <w:p w14:paraId="0A1165C6">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加强工作作风建设，不发生履职不力、作风不实、效能不高、纪律不严等行风事项投诉；根据实际情况，按照要求做好行风事项投诉反馈。</w:t>
            </w:r>
          </w:p>
        </w:tc>
        <w:tc>
          <w:tcPr>
            <w:tcW w:w="2159" w:type="dxa"/>
            <w:tcBorders>
              <w:top w:val="single" w:color="auto" w:sz="4" w:space="0"/>
              <w:left w:val="nil"/>
              <w:bottom w:val="single" w:color="auto" w:sz="4" w:space="0"/>
              <w:right w:val="single" w:color="auto" w:sz="4" w:space="0"/>
            </w:tcBorders>
            <w:shd w:val="clear" w:color="auto" w:fill="auto"/>
            <w:vAlign w:val="center"/>
          </w:tcPr>
          <w:p w14:paraId="31A656DB">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加强作风建设、纪律要求、提高效能。</w:t>
            </w:r>
          </w:p>
        </w:tc>
        <w:tc>
          <w:tcPr>
            <w:tcW w:w="1978" w:type="dxa"/>
            <w:tcBorders>
              <w:top w:val="single" w:color="auto" w:sz="4" w:space="0"/>
              <w:left w:val="nil"/>
              <w:bottom w:val="single" w:color="auto" w:sz="4" w:space="0"/>
              <w:right w:val="single" w:color="auto" w:sz="4" w:space="0"/>
            </w:tcBorders>
            <w:shd w:val="clear" w:color="auto" w:fill="auto"/>
            <w:vAlign w:val="center"/>
          </w:tcPr>
          <w:p w14:paraId="297C1DC3">
            <w:pPr>
              <w:pStyle w:val="35"/>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行政监督抽查发现按相关规定处罚或开除。</w:t>
            </w:r>
          </w:p>
        </w:tc>
      </w:tr>
    </w:tbl>
    <w:p w14:paraId="1553478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480"/>
        <w:jc w:val="both"/>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kern w:val="0"/>
          <w:sz w:val="24"/>
          <w:szCs w:val="24"/>
          <w:highlight w:val="none"/>
          <w:lang w:val="en-US" w:eastAsia="zh-CN" w:bidi="ar"/>
        </w:rPr>
        <w:t>3.管理考核办法</w:t>
      </w:r>
    </w:p>
    <w:p w14:paraId="6E79451A">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（1）排查人员管理要求：</w:t>
      </w:r>
    </w:p>
    <w:p w14:paraId="3B90267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①人员不得迟到早退，准时上下班，如有特殊情况需向招标人提前说明</w:t>
      </w:r>
    </w:p>
    <w:p w14:paraId="7A734C4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②着装整洁，言谈举止规范，待人接物文明有礼</w:t>
      </w:r>
    </w:p>
    <w:p w14:paraId="2DB2995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③按时完成用人方布置的工作任务</w:t>
      </w:r>
    </w:p>
    <w:p w14:paraId="512AA33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（2）业务考核要求，见考核表一，每次付款前考核，按百分制，90分为合格，低于90分，每低0.1分扣除100元，在当期付款中扣除。</w:t>
      </w:r>
    </w:p>
    <w:p w14:paraId="0B2321D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（3）日常质量考核，见考核表二，由招标人随机抽查，发现一次不合格罚款500元。</w:t>
      </w:r>
    </w:p>
    <w:p w14:paraId="0C44612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（4）其他扣分项：</w:t>
      </w:r>
    </w:p>
    <w:p w14:paraId="50AAA6F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①违反上款（1）项的，发现一次扣除100元。</w:t>
      </w:r>
    </w:p>
    <w:p w14:paraId="0F0E8C0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②对排查过的企业单位，针对省、市、区县各级督查发现重大隐患通报的问题，按照1000元/项进行扣除。</w:t>
      </w:r>
    </w:p>
    <w:p w14:paraId="6CC61A0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③每季度提交季度工作报告，未能及时提交的，按照每组500元扣除（报告每月25日之前提交）。</w:t>
      </w:r>
    </w:p>
    <w:p w14:paraId="5FA2582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④对季度报告中，发现排查不仔细，有遗漏问题未查出的，每发现一项扣100元，5000封顶。</w:t>
      </w:r>
    </w:p>
    <w:p w14:paraId="06BCAF5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⑤不能按时完成区局布置的排查任务，每发现一次扣除1000元。</w:t>
      </w:r>
    </w:p>
    <w:p w14:paraId="203F781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⑥人员未按照用人方要求到位的，按人次扣除服务费3000元。若一年内人员流动性超过总人数的20%，则扣除服务费5000元。</w:t>
      </w:r>
    </w:p>
    <w:p w14:paraId="3F7D4418">
      <w:pPr>
        <w:pStyle w:val="35"/>
        <w:keepNext w:val="0"/>
        <w:keepLines w:val="0"/>
        <w:widowControl w:val="0"/>
        <w:suppressLineNumbers w:val="0"/>
        <w:autoSpaceDE w:val="0"/>
        <w:autoSpaceDN w:val="0"/>
        <w:adjustRightInd w:val="0"/>
        <w:spacing w:before="0" w:beforeAutospacing="0" w:after="0" w:afterAutospacing="0" w:line="360" w:lineRule="auto"/>
        <w:ind w:left="0" w:right="0" w:firstLine="518"/>
        <w:jc w:val="both"/>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三、采购金额及付款</w:t>
      </w:r>
    </w:p>
    <w:p w14:paraId="3C0C58EA">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1.本项目服务期两年</w:t>
      </w:r>
    </w:p>
    <w:p w14:paraId="74E1BA32">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2.投标报价相关要求：</w:t>
      </w:r>
    </w:p>
    <w:p w14:paraId="10BACAFB">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投标报价中应考虑本项目实施过程中所产生的一切费用。报价范围包括完成本项目所有服务产生的所有费用、所有服务人员的工勤费用（包括工资、福利、交通、食宿、通讯等费用）等各项费用、各种税费、利润、税金、政策性文件规定及合同包含的所有风险、责任等各项应有的一切费用。</w:t>
      </w:r>
    </w:p>
    <w:p w14:paraId="6DDA5D9C">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（2）投标人必须在满足采购文件要求的基础上进行报价。</w:t>
      </w:r>
    </w:p>
    <w:p w14:paraId="04640E31">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（3）投标人应仔细阅读招标文件的所有内容，按招标文件的要求提供投标文件，并保证所提供的全部资料的真实性，以使其投标对招标文件作出实质性响应，否则，其投标可能被拒绝。</w:t>
      </w:r>
    </w:p>
    <w:p w14:paraId="10CD1A7C">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（4）投标人报价时应充分考虑服务期内所有可能影响到报价的因素（包括最低工资标准和社保基数的政策性调整），如出现投标人故意低价竞争，以谋取中标，作废标处理。</w:t>
      </w:r>
    </w:p>
    <w:p w14:paraId="4B00BCBB">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4.本项目合同</w:t>
      </w:r>
      <w:r>
        <w:rPr>
          <w:rFonts w:hint="eastAsia" w:ascii="宋体" w:hAnsi="宋体" w:cs="宋体"/>
          <w:color w:val="auto"/>
          <w:spacing w:val="0"/>
          <w:kern w:val="0"/>
          <w:sz w:val="24"/>
          <w:szCs w:val="24"/>
          <w:highlight w:val="none"/>
          <w:lang w:val="en-US" w:eastAsia="zh-CN" w:bidi="ar"/>
        </w:rPr>
        <w:t>价格</w:t>
      </w:r>
      <w:r>
        <w:rPr>
          <w:rFonts w:hint="eastAsia" w:ascii="宋体" w:hAnsi="宋体" w:eastAsia="宋体" w:cs="宋体"/>
          <w:color w:val="auto"/>
          <w:spacing w:val="0"/>
          <w:kern w:val="0"/>
          <w:sz w:val="24"/>
          <w:szCs w:val="24"/>
          <w:highlight w:val="none"/>
          <w:lang w:val="en-US" w:eastAsia="zh-CN" w:bidi="ar"/>
        </w:rPr>
        <w:t>部分结算方式如下：</w:t>
      </w:r>
    </w:p>
    <w:p w14:paraId="10227019">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服务费每三个月凭考核结果结算一次，于次季度首月5日前将上季度发票送交甲方，甲方在次季度首月15日前将上季度服务费扣除考核罚款费用汇入乙方指定银行账户。</w:t>
      </w:r>
    </w:p>
    <w:p w14:paraId="04EEEBC0">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注：</w:t>
      </w:r>
    </w:p>
    <w:p w14:paraId="22136B44">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（1）供应商必须在应付价款的使用时，保证支付人员工资，招标人有监督的权利。如实际供应商未及时支付人员工资，招标人有权直接从应付价款中扣除该费用，用于直接支付人员工资。</w:t>
      </w:r>
    </w:p>
    <w:p w14:paraId="574DCA4A">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（2）服务区域范围发生变动，需经招标人同意，应付价款由双方协商后确定。</w:t>
      </w:r>
    </w:p>
    <w:p w14:paraId="269B0F2A">
      <w:pPr>
        <w:keepNext w:val="0"/>
        <w:keepLines w:val="0"/>
        <w:widowControl w:val="0"/>
        <w:suppressLineNumbers w:val="0"/>
        <w:autoSpaceDE w:val="0"/>
        <w:autoSpaceDN/>
        <w:spacing w:before="0" w:beforeAutospacing="0" w:after="0" w:afterAutospacing="0" w:line="360" w:lineRule="auto"/>
        <w:ind w:left="0" w:right="0"/>
        <w:jc w:val="both"/>
        <w:rPr>
          <w:rFonts w:hint="default" w:ascii="Calibri" w:hAnsi="Calibri" w:eastAsia="宋体" w:cs="Times New Roman"/>
          <w:color w:val="auto"/>
          <w:kern w:val="2"/>
          <w:sz w:val="21"/>
          <w:szCs w:val="21"/>
          <w:highlight w:val="none"/>
        </w:rPr>
      </w:pPr>
      <w:r>
        <w:rPr>
          <w:rFonts w:hint="default" w:ascii="Calibri" w:hAnsi="Calibri" w:eastAsia="宋体" w:cs="Times New Roman"/>
          <w:color w:val="auto"/>
          <w:kern w:val="2"/>
          <w:sz w:val="21"/>
          <w:szCs w:val="21"/>
          <w:highlight w:val="none"/>
          <w:lang w:val="en-US" w:eastAsia="zh-CN" w:bidi="ar"/>
        </w:rPr>
        <w:t xml:space="preserve"> </w:t>
      </w:r>
    </w:p>
    <w:p w14:paraId="37D57B22">
      <w:pPr>
        <w:spacing w:line="360" w:lineRule="auto"/>
        <w:jc w:val="center"/>
        <w:outlineLvl w:val="0"/>
        <w:rPr>
          <w:rFonts w:hint="eastAsia" w:ascii="黑体" w:eastAsia="黑体"/>
          <w:bCs/>
          <w:color w:val="auto"/>
          <w:sz w:val="28"/>
          <w:szCs w:val="28"/>
          <w:highlight w:val="none"/>
        </w:rPr>
      </w:pPr>
      <w:bookmarkStart w:id="4" w:name="_Toc18156"/>
      <w:r>
        <w:rPr>
          <w:rFonts w:hint="eastAsia" w:ascii="黑体" w:eastAsia="黑体"/>
          <w:bCs/>
          <w:color w:val="auto"/>
          <w:sz w:val="28"/>
          <w:szCs w:val="28"/>
          <w:highlight w:val="none"/>
          <w:lang w:eastAsia="zh-CN"/>
        </w:rPr>
        <w:t>四、</w:t>
      </w:r>
      <w:r>
        <w:rPr>
          <w:rFonts w:hint="eastAsia" w:ascii="黑体" w:eastAsia="黑体"/>
          <w:bCs/>
          <w:color w:val="auto"/>
          <w:sz w:val="28"/>
          <w:szCs w:val="28"/>
          <w:highlight w:val="none"/>
        </w:rPr>
        <w:t>合同书（格式文本）</w:t>
      </w:r>
      <w:bookmarkEnd w:id="4"/>
    </w:p>
    <w:p w14:paraId="2EF220ED">
      <w:pPr>
        <w:keepNext w:val="0"/>
        <w:keepLines w:val="0"/>
        <w:pageBreakBefore w:val="0"/>
        <w:widowControl w:val="0"/>
        <w:spacing w:line="360" w:lineRule="auto"/>
        <w:outlineLvl w:val="9"/>
        <w:rPr>
          <w:rFonts w:hint="eastAsia" w:ascii="宋体" w:hAnsi="宋体" w:eastAsia="宋体" w:cs="Times New Roman"/>
          <w:b w:val="0"/>
          <w:bCs/>
          <w:color w:val="auto"/>
          <w:sz w:val="24"/>
          <w:szCs w:val="24"/>
          <w:highlight w:val="none"/>
          <w:u w:val="none"/>
        </w:rPr>
      </w:pPr>
      <w:r>
        <w:rPr>
          <w:rFonts w:hint="eastAsia" w:ascii="宋体" w:hAnsi="宋体" w:eastAsia="宋体" w:cs="Times New Roman"/>
          <w:b w:val="0"/>
          <w:bCs/>
          <w:color w:val="auto"/>
          <w:sz w:val="24"/>
          <w:szCs w:val="24"/>
          <w:highlight w:val="none"/>
          <w:u w:val="none"/>
          <w:lang w:val="en-US" w:eastAsia="zh-CN"/>
        </w:rPr>
        <w:t>甲</w:t>
      </w:r>
      <w:r>
        <w:rPr>
          <w:rFonts w:hint="eastAsia" w:ascii="宋体" w:hAnsi="宋体" w:eastAsia="宋体" w:cs="Times New Roman"/>
          <w:b w:val="0"/>
          <w:bCs/>
          <w:color w:val="auto"/>
          <w:sz w:val="24"/>
          <w:szCs w:val="24"/>
          <w:highlight w:val="none"/>
          <w:u w:val="none"/>
        </w:rPr>
        <w:t>方（采购人）：</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p>
    <w:p w14:paraId="2457A8B0">
      <w:pPr>
        <w:keepNext w:val="0"/>
        <w:keepLines w:val="0"/>
        <w:pageBreakBefore w:val="0"/>
        <w:widowControl w:val="0"/>
        <w:spacing w:line="360" w:lineRule="auto"/>
        <w:outlineLvl w:val="9"/>
        <w:rPr>
          <w:rFonts w:hint="eastAsia" w:ascii="宋体" w:hAnsi="宋体" w:eastAsia="宋体" w:cs="Times New Roman"/>
          <w:b w:val="0"/>
          <w:bCs/>
          <w:color w:val="auto"/>
          <w:sz w:val="24"/>
          <w:szCs w:val="24"/>
          <w:highlight w:val="none"/>
          <w:u w:val="none"/>
        </w:rPr>
      </w:pPr>
      <w:r>
        <w:rPr>
          <w:rFonts w:hint="eastAsia" w:ascii="宋体" w:hAnsi="宋体" w:eastAsia="宋体" w:cs="Times New Roman"/>
          <w:b w:val="0"/>
          <w:bCs/>
          <w:color w:val="auto"/>
          <w:sz w:val="24"/>
          <w:szCs w:val="24"/>
          <w:highlight w:val="none"/>
          <w:u w:val="none"/>
          <w:lang w:val="en-US" w:eastAsia="zh-CN"/>
        </w:rPr>
        <w:t>乙</w:t>
      </w:r>
      <w:r>
        <w:rPr>
          <w:rFonts w:hint="eastAsia" w:ascii="宋体" w:hAnsi="宋体" w:eastAsia="宋体" w:cs="Times New Roman"/>
          <w:b w:val="0"/>
          <w:bCs/>
          <w:color w:val="auto"/>
          <w:sz w:val="24"/>
          <w:szCs w:val="24"/>
          <w:highlight w:val="none"/>
          <w:u w:val="none"/>
        </w:rPr>
        <w:t>方（中标</w:t>
      </w:r>
      <w:r>
        <w:rPr>
          <w:rFonts w:hint="eastAsia" w:ascii="宋体" w:hAnsi="宋体" w:cs="Times New Roman"/>
          <w:b w:val="0"/>
          <w:bCs/>
          <w:color w:val="auto"/>
          <w:sz w:val="24"/>
          <w:szCs w:val="24"/>
          <w:highlight w:val="none"/>
          <w:u w:val="none"/>
          <w:lang w:val="en-US" w:eastAsia="zh-CN"/>
        </w:rPr>
        <w:t>人</w:t>
      </w:r>
      <w:r>
        <w:rPr>
          <w:rFonts w:hint="eastAsia" w:ascii="宋体" w:hAnsi="宋体" w:eastAsia="宋体" w:cs="Times New Roman"/>
          <w:b w:val="0"/>
          <w:bCs/>
          <w:color w:val="auto"/>
          <w:sz w:val="24"/>
          <w:szCs w:val="24"/>
          <w:highlight w:val="none"/>
          <w:u w:val="none"/>
        </w:rPr>
        <w:t>）：</w:t>
      </w:r>
      <w:r>
        <w:rPr>
          <w:rFonts w:hint="eastAsia" w:ascii="宋体" w:hAnsi="宋体" w:eastAsia="宋体" w:cs="Times New Roman"/>
          <w:b w:val="0"/>
          <w:bCs/>
          <w:color w:val="auto"/>
          <w:sz w:val="24"/>
          <w:szCs w:val="24"/>
          <w:highlight w:val="none"/>
          <w:u w:val="single"/>
        </w:rPr>
        <w:t xml:space="preserve">                         </w:t>
      </w:r>
    </w:p>
    <w:p w14:paraId="1F73FBBC">
      <w:pPr>
        <w:keepNext w:val="0"/>
        <w:keepLines w:val="0"/>
        <w:pageBreakBefore w:val="0"/>
        <w:widowControl w:val="0"/>
        <w:spacing w:line="360" w:lineRule="auto"/>
        <w:ind w:left="0" w:firstLine="480"/>
        <w:outlineLvl w:val="9"/>
        <w:rPr>
          <w:rFonts w:hint="eastAsia" w:ascii="宋体" w:hAnsi="宋体" w:eastAsia="宋体" w:cs="Times New Roman"/>
          <w:b w:val="0"/>
          <w:bCs/>
          <w:color w:val="auto"/>
          <w:sz w:val="24"/>
          <w:szCs w:val="24"/>
          <w:highlight w:val="none"/>
          <w:u w:val="none"/>
        </w:rPr>
      </w:pPr>
      <w:r>
        <w:rPr>
          <w:rFonts w:hint="eastAsia" w:ascii="宋体" w:hAnsi="宋体" w:eastAsia="宋体" w:cs="Times New Roman"/>
          <w:b w:val="0"/>
          <w:bCs/>
          <w:color w:val="auto"/>
          <w:sz w:val="24"/>
          <w:szCs w:val="24"/>
          <w:highlight w:val="none"/>
          <w:u w:val="none"/>
        </w:rPr>
        <w:t>一、政府采购编号：</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p>
    <w:p w14:paraId="5EA3D222">
      <w:pPr>
        <w:keepNext w:val="0"/>
        <w:keepLines w:val="0"/>
        <w:pageBreakBefore w:val="0"/>
        <w:widowControl w:val="0"/>
        <w:spacing w:line="360" w:lineRule="auto"/>
        <w:ind w:left="0" w:firstLine="480"/>
        <w:outlineLvl w:val="9"/>
        <w:rPr>
          <w:rFonts w:hint="eastAsia" w:ascii="宋体" w:hAnsi="宋体" w:eastAsia="宋体" w:cs="Times New Roman"/>
          <w:b w:val="0"/>
          <w:bCs/>
          <w:color w:val="auto"/>
          <w:sz w:val="24"/>
          <w:szCs w:val="24"/>
          <w:highlight w:val="none"/>
          <w:u w:val="none"/>
        </w:rPr>
      </w:pPr>
      <w:r>
        <w:rPr>
          <w:rFonts w:hint="eastAsia" w:ascii="宋体" w:hAnsi="宋体" w:eastAsia="宋体" w:cs="Times New Roman"/>
          <w:b w:val="0"/>
          <w:bCs/>
          <w:color w:val="auto"/>
          <w:sz w:val="24"/>
          <w:szCs w:val="24"/>
          <w:highlight w:val="none"/>
          <w:u w:val="none"/>
        </w:rPr>
        <w:t>二、采购内容：</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p>
    <w:p w14:paraId="08C54D5A">
      <w:pPr>
        <w:keepNext w:val="0"/>
        <w:keepLines w:val="0"/>
        <w:pageBreakBefore w:val="0"/>
        <w:widowControl w:val="0"/>
        <w:spacing w:line="360" w:lineRule="auto"/>
        <w:ind w:left="0" w:firstLine="480"/>
        <w:outlineLvl w:val="9"/>
        <w:rPr>
          <w:rFonts w:hint="eastAsia" w:ascii="宋体" w:hAnsi="宋体" w:eastAsia="宋体" w:cs="Times New Roman"/>
          <w:b w:val="0"/>
          <w:bCs/>
          <w:color w:val="auto"/>
          <w:sz w:val="24"/>
          <w:szCs w:val="24"/>
          <w:highlight w:val="none"/>
          <w:u w:val="none"/>
        </w:rPr>
      </w:pPr>
      <w:r>
        <w:rPr>
          <w:rFonts w:hint="eastAsia" w:ascii="宋体" w:hAnsi="宋体" w:eastAsia="宋体" w:cs="Times New Roman"/>
          <w:b w:val="0"/>
          <w:bCs/>
          <w:color w:val="auto"/>
          <w:sz w:val="24"/>
          <w:szCs w:val="24"/>
          <w:highlight w:val="none"/>
          <w:u w:val="none"/>
        </w:rPr>
        <w:t>三、中标总金额：人民币（大写）</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none"/>
        </w:rPr>
        <w:t>元；人民币（小写）</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none"/>
        </w:rPr>
        <w:t>元</w:t>
      </w:r>
    </w:p>
    <w:p w14:paraId="48AEF335">
      <w:pPr>
        <w:keepNext w:val="0"/>
        <w:keepLines w:val="0"/>
        <w:pageBreakBefore w:val="0"/>
        <w:widowControl w:val="0"/>
        <w:spacing w:line="360" w:lineRule="auto"/>
        <w:ind w:left="0" w:firstLine="480"/>
        <w:outlineLvl w:val="9"/>
        <w:rPr>
          <w:rFonts w:hint="eastAsia" w:ascii="宋体" w:hAnsi="宋体" w:eastAsia="宋体" w:cs="Times New Roman"/>
          <w:b w:val="0"/>
          <w:bCs/>
          <w:color w:val="auto"/>
          <w:sz w:val="24"/>
          <w:szCs w:val="24"/>
          <w:highlight w:val="none"/>
          <w:u w:val="none"/>
        </w:rPr>
      </w:pPr>
      <w:r>
        <w:rPr>
          <w:rFonts w:hint="eastAsia" w:ascii="宋体" w:hAnsi="宋体" w:eastAsia="宋体" w:cs="Times New Roman"/>
          <w:b w:val="0"/>
          <w:bCs/>
          <w:color w:val="auto"/>
          <w:sz w:val="24"/>
          <w:szCs w:val="24"/>
          <w:highlight w:val="none"/>
          <w:u w:val="none"/>
        </w:rPr>
        <w:t>四、质量和服务要求及验收标准：</w:t>
      </w:r>
      <w:r>
        <w:rPr>
          <w:rFonts w:hint="eastAsia" w:ascii="宋体" w:hAnsi="宋体" w:eastAsia="宋体" w:cs="Times New Roman"/>
          <w:b w:val="0"/>
          <w:bCs/>
          <w:color w:val="auto"/>
          <w:sz w:val="24"/>
          <w:szCs w:val="24"/>
          <w:highlight w:val="none"/>
          <w:u w:val="single"/>
        </w:rPr>
        <w:t xml:space="preserve">                                            </w:t>
      </w:r>
    </w:p>
    <w:p w14:paraId="683C0DC8">
      <w:pPr>
        <w:keepNext w:val="0"/>
        <w:keepLines w:val="0"/>
        <w:pageBreakBefore w:val="0"/>
        <w:widowControl w:val="0"/>
        <w:spacing w:line="360" w:lineRule="auto"/>
        <w:ind w:left="0" w:firstLine="480"/>
        <w:outlineLvl w:val="9"/>
        <w:rPr>
          <w:rFonts w:hint="eastAsia" w:ascii="宋体" w:hAnsi="宋体" w:eastAsia="宋体" w:cs="Times New Roman"/>
          <w:b w:val="0"/>
          <w:bCs/>
          <w:color w:val="auto"/>
          <w:sz w:val="24"/>
          <w:szCs w:val="24"/>
          <w:highlight w:val="none"/>
          <w:u w:val="single"/>
        </w:rPr>
      </w:pPr>
      <w:r>
        <w:rPr>
          <w:rFonts w:hint="eastAsia" w:ascii="宋体" w:hAnsi="宋体" w:eastAsia="宋体" w:cs="Times New Roman"/>
          <w:b w:val="0"/>
          <w:bCs/>
          <w:color w:val="auto"/>
          <w:sz w:val="24"/>
          <w:szCs w:val="24"/>
          <w:highlight w:val="none"/>
          <w:u w:val="none"/>
        </w:rPr>
        <w:t>五、</w:t>
      </w:r>
      <w:r>
        <w:rPr>
          <w:rFonts w:hint="eastAsia" w:ascii="宋体" w:hAnsi="宋体"/>
          <w:color w:val="auto"/>
          <w:sz w:val="24"/>
          <w:szCs w:val="24"/>
          <w:highlight w:val="none"/>
          <w:lang w:val="en-US" w:eastAsia="zh-CN"/>
        </w:rPr>
        <w:t>供货期限</w:t>
      </w:r>
      <w:r>
        <w:rPr>
          <w:rFonts w:hint="eastAsia" w:ascii="宋体" w:hAnsi="宋体" w:eastAsia="宋体" w:cs="Times New Roman"/>
          <w:b w:val="0"/>
          <w:bCs/>
          <w:color w:val="auto"/>
          <w:sz w:val="24"/>
          <w:szCs w:val="24"/>
          <w:highlight w:val="none"/>
          <w:u w:val="none"/>
        </w:rPr>
        <w:t>：</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p>
    <w:p w14:paraId="20BCB838">
      <w:pPr>
        <w:keepNext w:val="0"/>
        <w:keepLines w:val="0"/>
        <w:pageBreakBefore w:val="0"/>
        <w:widowControl w:val="0"/>
        <w:spacing w:line="360" w:lineRule="auto"/>
        <w:ind w:left="0" w:firstLine="480"/>
        <w:outlineLvl w:val="9"/>
        <w:rPr>
          <w:rFonts w:hint="eastAsia" w:ascii="宋体" w:hAnsi="宋体" w:eastAsia="宋体" w:cs="Times New Roman"/>
          <w:b w:val="0"/>
          <w:bCs/>
          <w:color w:val="auto"/>
          <w:sz w:val="24"/>
          <w:szCs w:val="24"/>
          <w:highlight w:val="none"/>
          <w:u w:val="single"/>
        </w:rPr>
      </w:pPr>
      <w:r>
        <w:rPr>
          <w:rFonts w:hint="eastAsia" w:ascii="宋体" w:hAnsi="宋体" w:eastAsia="宋体" w:cs="Times New Roman"/>
          <w:b w:val="0"/>
          <w:bCs/>
          <w:color w:val="auto"/>
          <w:sz w:val="24"/>
          <w:szCs w:val="24"/>
          <w:highlight w:val="none"/>
          <w:u w:val="none"/>
        </w:rPr>
        <w:t>六、服务地点和方式：</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p>
    <w:p w14:paraId="467E340E">
      <w:pPr>
        <w:keepNext w:val="0"/>
        <w:keepLines w:val="0"/>
        <w:pageBreakBefore w:val="0"/>
        <w:widowControl w:val="0"/>
        <w:spacing w:line="360" w:lineRule="auto"/>
        <w:ind w:left="0" w:firstLine="480"/>
        <w:outlineLvl w:val="9"/>
        <w:rPr>
          <w:rFonts w:hint="eastAsia" w:ascii="宋体" w:hAnsi="宋体" w:eastAsia="宋体" w:cs="Times New Roman"/>
          <w:b w:val="0"/>
          <w:bCs/>
          <w:color w:val="auto"/>
          <w:sz w:val="24"/>
          <w:szCs w:val="24"/>
          <w:highlight w:val="none"/>
          <w:u w:val="single"/>
        </w:rPr>
      </w:pPr>
      <w:r>
        <w:rPr>
          <w:rFonts w:hint="eastAsia" w:ascii="宋体" w:hAnsi="宋体" w:eastAsia="宋体" w:cs="Times New Roman"/>
          <w:b w:val="0"/>
          <w:bCs/>
          <w:color w:val="auto"/>
          <w:sz w:val="24"/>
          <w:szCs w:val="24"/>
          <w:highlight w:val="none"/>
          <w:u w:val="none"/>
        </w:rPr>
        <w:t>七、货款支付步骤和办法：</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p>
    <w:p w14:paraId="093A562B">
      <w:pPr>
        <w:keepNext w:val="0"/>
        <w:keepLines w:val="0"/>
        <w:pageBreakBefore w:val="0"/>
        <w:widowControl w:val="0"/>
        <w:spacing w:line="360" w:lineRule="auto"/>
        <w:ind w:left="0" w:firstLine="480"/>
        <w:outlineLvl w:val="9"/>
        <w:rPr>
          <w:rFonts w:hint="eastAsia" w:ascii="宋体" w:hAnsi="宋体" w:eastAsia="宋体" w:cs="Times New Roman"/>
          <w:b w:val="0"/>
          <w:bCs/>
          <w:color w:val="auto"/>
          <w:sz w:val="24"/>
          <w:szCs w:val="24"/>
          <w:highlight w:val="none"/>
          <w:u w:val="single"/>
        </w:rPr>
      </w:pPr>
      <w:r>
        <w:rPr>
          <w:rFonts w:hint="eastAsia" w:ascii="宋体" w:hAnsi="宋体" w:eastAsia="宋体" w:cs="Times New Roman"/>
          <w:b w:val="0"/>
          <w:bCs/>
          <w:color w:val="auto"/>
          <w:sz w:val="24"/>
          <w:szCs w:val="24"/>
          <w:highlight w:val="none"/>
          <w:u w:val="none"/>
        </w:rPr>
        <w:t>八、违约责任：</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p>
    <w:p w14:paraId="3B458F6D">
      <w:pPr>
        <w:keepNext w:val="0"/>
        <w:keepLines w:val="0"/>
        <w:pageBreakBefore w:val="0"/>
        <w:widowControl w:val="0"/>
        <w:spacing w:line="360" w:lineRule="auto"/>
        <w:ind w:left="0" w:firstLine="480"/>
        <w:outlineLvl w:val="9"/>
        <w:rPr>
          <w:rFonts w:hint="eastAsia" w:ascii="宋体" w:hAnsi="宋体" w:eastAsia="宋体" w:cs="Times New Roman"/>
          <w:b w:val="0"/>
          <w:bCs/>
          <w:color w:val="auto"/>
          <w:sz w:val="24"/>
          <w:szCs w:val="24"/>
          <w:highlight w:val="none"/>
          <w:u w:val="single"/>
        </w:rPr>
      </w:pPr>
      <w:r>
        <w:rPr>
          <w:rFonts w:hint="eastAsia" w:ascii="宋体" w:hAnsi="宋体" w:eastAsia="宋体" w:cs="Times New Roman"/>
          <w:b w:val="0"/>
          <w:bCs/>
          <w:color w:val="auto"/>
          <w:sz w:val="24"/>
          <w:szCs w:val="24"/>
          <w:highlight w:val="none"/>
          <w:u w:val="none"/>
        </w:rPr>
        <w:t>九、解决争议的方式：</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p>
    <w:p w14:paraId="05E750D7">
      <w:pPr>
        <w:keepNext w:val="0"/>
        <w:keepLines w:val="0"/>
        <w:pageBreakBefore w:val="0"/>
        <w:widowControl w:val="0"/>
        <w:spacing w:line="360" w:lineRule="auto"/>
        <w:ind w:left="0" w:firstLine="480"/>
        <w:outlineLvl w:val="9"/>
        <w:rPr>
          <w:rFonts w:hint="eastAsia" w:ascii="宋体" w:hAnsi="宋体" w:eastAsia="宋体" w:cs="Times New Roman"/>
          <w:b w:val="0"/>
          <w:bCs/>
          <w:color w:val="auto"/>
          <w:sz w:val="24"/>
          <w:szCs w:val="24"/>
          <w:highlight w:val="none"/>
          <w:u w:val="single"/>
        </w:rPr>
      </w:pPr>
      <w:r>
        <w:rPr>
          <w:rFonts w:hint="eastAsia" w:ascii="宋体" w:hAnsi="宋体" w:eastAsia="宋体" w:cs="Times New Roman"/>
          <w:b w:val="0"/>
          <w:bCs/>
          <w:color w:val="auto"/>
          <w:sz w:val="24"/>
          <w:szCs w:val="24"/>
          <w:highlight w:val="none"/>
          <w:u w:val="none"/>
        </w:rPr>
        <w:t>十、</w:t>
      </w:r>
      <w:r>
        <w:rPr>
          <w:rFonts w:hint="eastAsia" w:ascii="宋体" w:hAnsi="宋体" w:cs="Times New Roman"/>
          <w:b w:val="0"/>
          <w:bCs/>
          <w:color w:val="auto"/>
          <w:sz w:val="24"/>
          <w:szCs w:val="24"/>
          <w:highlight w:val="none"/>
          <w:u w:val="none"/>
          <w:lang w:eastAsia="zh-CN"/>
        </w:rPr>
        <w:t>其他</w:t>
      </w:r>
      <w:r>
        <w:rPr>
          <w:rFonts w:hint="eastAsia" w:ascii="宋体" w:hAnsi="宋体" w:eastAsia="宋体" w:cs="Times New Roman"/>
          <w:b w:val="0"/>
          <w:bCs/>
          <w:color w:val="auto"/>
          <w:sz w:val="24"/>
          <w:szCs w:val="24"/>
          <w:highlight w:val="none"/>
          <w:u w:val="none"/>
        </w:rPr>
        <w:t>事项：</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p>
    <w:p w14:paraId="2B925A3A">
      <w:pPr>
        <w:keepNext w:val="0"/>
        <w:keepLines w:val="0"/>
        <w:pageBreakBefore w:val="0"/>
        <w:widowControl w:val="0"/>
        <w:tabs>
          <w:tab w:val="left" w:pos="210"/>
          <w:tab w:val="left" w:pos="840"/>
          <w:tab w:val="left" w:pos="1260"/>
        </w:tabs>
        <w:spacing w:line="360" w:lineRule="auto"/>
        <w:ind w:left="0" w:firstLine="480"/>
        <w:rPr>
          <w:rFonts w:hint="eastAsia" w:ascii="Times New Roman" w:hAnsi="宋体" w:eastAsia="宋体" w:cs="宋体"/>
          <w:bCs/>
          <w:color w:val="auto"/>
          <w:sz w:val="24"/>
          <w:highlight w:val="none"/>
        </w:rPr>
      </w:pPr>
      <w:r>
        <w:rPr>
          <w:rFonts w:hint="eastAsia" w:hAnsi="宋体" w:cs="宋体"/>
          <w:bCs/>
          <w:color w:val="auto"/>
          <w:sz w:val="24"/>
          <w:highlight w:val="none"/>
        </w:rPr>
        <w:t>十一、合同不可分割部分：</w:t>
      </w:r>
      <w:r>
        <w:rPr>
          <w:rFonts w:hint="eastAsia" w:ascii="Times New Roman" w:hAnsi="宋体" w:eastAsia="宋体" w:cs="宋体"/>
          <w:bCs/>
          <w:color w:val="auto"/>
          <w:sz w:val="24"/>
          <w:highlight w:val="none"/>
        </w:rPr>
        <w:t>招标文件、投标文件、合同条款及中标通知书，乙方在投标、评标过程中所作</w:t>
      </w:r>
      <w:r>
        <w:rPr>
          <w:rFonts w:hint="eastAsia" w:hAnsi="宋体" w:cs="宋体"/>
          <w:bCs/>
          <w:color w:val="auto"/>
          <w:sz w:val="24"/>
          <w:highlight w:val="none"/>
          <w:lang w:eastAsia="zh-CN"/>
        </w:rPr>
        <w:t>其他有关</w:t>
      </w:r>
      <w:r>
        <w:rPr>
          <w:rFonts w:hint="eastAsia" w:ascii="Times New Roman" w:hAnsi="宋体" w:eastAsia="宋体" w:cs="宋体"/>
          <w:bCs/>
          <w:color w:val="auto"/>
          <w:sz w:val="24"/>
          <w:highlight w:val="none"/>
        </w:rPr>
        <w:t>承诺、声明、书面澄清等均为合同不可分割的部分，与主合同具有同等法律效力。</w:t>
      </w:r>
    </w:p>
    <w:p w14:paraId="306944C7">
      <w:pPr>
        <w:keepNext w:val="0"/>
        <w:keepLines w:val="0"/>
        <w:pageBreakBefore w:val="0"/>
        <w:widowControl w:val="0"/>
        <w:tabs>
          <w:tab w:val="left" w:pos="210"/>
          <w:tab w:val="left" w:pos="840"/>
          <w:tab w:val="left" w:pos="1260"/>
        </w:tabs>
        <w:spacing w:line="360" w:lineRule="auto"/>
        <w:ind w:left="0" w:firstLine="480"/>
        <w:rPr>
          <w:rFonts w:hint="eastAsia" w:ascii="Times New Roman" w:hAnsi="宋体" w:eastAsia="宋体" w:cs="宋体"/>
          <w:bCs/>
          <w:color w:val="auto"/>
          <w:sz w:val="24"/>
          <w:highlight w:val="none"/>
        </w:rPr>
      </w:pPr>
      <w:r>
        <w:rPr>
          <w:rFonts w:hint="eastAsia" w:ascii="Times New Roman" w:hAnsi="宋体" w:eastAsia="宋体" w:cs="宋体"/>
          <w:bCs/>
          <w:color w:val="auto"/>
          <w:sz w:val="24"/>
          <w:highlight w:val="none"/>
        </w:rPr>
        <w:t>十二、合同备案：合同一式伍份，甲乙双方各执贰份，采购代理机构壹份。</w:t>
      </w:r>
    </w:p>
    <w:p w14:paraId="75AF1927">
      <w:pPr>
        <w:keepNext w:val="0"/>
        <w:keepLines w:val="0"/>
        <w:pageBreakBefore w:val="0"/>
        <w:widowControl w:val="0"/>
        <w:tabs>
          <w:tab w:val="left" w:pos="210"/>
          <w:tab w:val="left" w:pos="840"/>
          <w:tab w:val="left" w:pos="1260"/>
        </w:tabs>
        <w:spacing w:line="360" w:lineRule="auto"/>
        <w:ind w:left="0" w:firstLine="480"/>
        <w:rPr>
          <w:rFonts w:hint="eastAsia" w:ascii="宋体" w:hAnsi="宋体" w:eastAsia="宋体" w:cs="Times New Roman"/>
          <w:b w:val="0"/>
          <w:bCs/>
          <w:color w:val="auto"/>
          <w:sz w:val="24"/>
          <w:szCs w:val="24"/>
          <w:highlight w:val="none"/>
          <w:u w:val="none"/>
        </w:rPr>
      </w:pPr>
      <w:r>
        <w:rPr>
          <w:rFonts w:hint="eastAsia" w:ascii="Times New Roman" w:hAnsi="宋体" w:eastAsia="宋体" w:cs="宋体"/>
          <w:bCs/>
          <w:color w:val="auto"/>
          <w:sz w:val="24"/>
          <w:highlight w:val="none"/>
        </w:rPr>
        <w:t>十三、合同生效：</w:t>
      </w:r>
      <w:r>
        <w:rPr>
          <w:rFonts w:hint="eastAsia" w:ascii="宋体" w:hAnsi="宋体" w:eastAsia="宋体" w:cs="Times New Roman"/>
          <w:b w:val="0"/>
          <w:bCs/>
          <w:color w:val="auto"/>
          <w:sz w:val="24"/>
          <w:szCs w:val="24"/>
          <w:highlight w:val="none"/>
          <w:u w:val="none"/>
        </w:rPr>
        <w:t>本合同由</w:t>
      </w:r>
      <w:r>
        <w:rPr>
          <w:rFonts w:hint="eastAsia" w:ascii="宋体" w:hAnsi="宋体"/>
          <w:bCs/>
          <w:color w:val="auto"/>
          <w:sz w:val="24"/>
          <w:highlight w:val="none"/>
        </w:rPr>
        <w:t>甲乙</w:t>
      </w:r>
      <w:r>
        <w:rPr>
          <w:rFonts w:hint="eastAsia" w:ascii="宋体" w:hAnsi="宋体" w:eastAsia="宋体" w:cs="Times New Roman"/>
          <w:b w:val="0"/>
          <w:bCs/>
          <w:color w:val="auto"/>
          <w:sz w:val="24"/>
          <w:szCs w:val="24"/>
          <w:highlight w:val="none"/>
          <w:u w:val="none"/>
        </w:rPr>
        <w:t>双方签字、盖章，并经</w:t>
      </w:r>
      <w:r>
        <w:rPr>
          <w:rFonts w:hint="eastAsia" w:ascii="宋体" w:hAnsi="宋体" w:cs="Times New Roman"/>
          <w:b w:val="0"/>
          <w:bCs/>
          <w:color w:val="auto"/>
          <w:sz w:val="24"/>
          <w:szCs w:val="24"/>
          <w:highlight w:val="none"/>
          <w:u w:val="none"/>
          <w:lang w:val="en-US" w:eastAsia="zh-CN"/>
        </w:rPr>
        <w:t>代理机构</w:t>
      </w:r>
      <w:r>
        <w:rPr>
          <w:rFonts w:hint="eastAsia" w:ascii="宋体" w:hAnsi="宋体" w:eastAsia="宋体" w:cs="Times New Roman"/>
          <w:b w:val="0"/>
          <w:bCs/>
          <w:color w:val="auto"/>
          <w:sz w:val="24"/>
          <w:szCs w:val="24"/>
          <w:highlight w:val="none"/>
          <w:u w:val="none"/>
        </w:rPr>
        <w:t>见证后生效。</w:t>
      </w:r>
    </w:p>
    <w:p w14:paraId="5B0E2B8E">
      <w:pPr>
        <w:keepNext w:val="0"/>
        <w:keepLines w:val="0"/>
        <w:pageBreakBefore w:val="0"/>
        <w:widowControl w:val="0"/>
        <w:spacing w:line="360" w:lineRule="auto"/>
        <w:rPr>
          <w:rFonts w:hint="eastAsia" w:ascii="宋体" w:hAnsi="宋体"/>
          <w:bCs/>
          <w:color w:val="auto"/>
          <w:sz w:val="24"/>
          <w:highlight w:val="none"/>
          <w:u w:val="single"/>
        </w:rPr>
      </w:pPr>
      <w:r>
        <w:rPr>
          <w:rFonts w:hint="eastAsia" w:ascii="宋体" w:hAnsi="宋体"/>
          <w:bCs/>
          <w:color w:val="auto"/>
          <w:sz w:val="24"/>
          <w:highlight w:val="none"/>
        </w:rPr>
        <w:t>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乙方（中标</w:t>
      </w:r>
      <w:r>
        <w:rPr>
          <w:rFonts w:hint="eastAsia" w:ascii="宋体" w:hAnsi="宋体"/>
          <w:bCs/>
          <w:color w:val="auto"/>
          <w:sz w:val="24"/>
          <w:highlight w:val="none"/>
          <w:lang w:val="en-US" w:eastAsia="zh-CN"/>
        </w:rPr>
        <w:t>人</w:t>
      </w:r>
      <w:r>
        <w:rPr>
          <w:rFonts w:hint="eastAsia" w:ascii="宋体" w:hAnsi="宋体"/>
          <w:bCs/>
          <w:color w:val="auto"/>
          <w:sz w:val="24"/>
          <w:highlight w:val="none"/>
        </w:rPr>
        <w:t>）：</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p w14:paraId="0674CBF8">
      <w:pPr>
        <w:keepNext w:val="0"/>
        <w:keepLines w:val="0"/>
        <w:pageBreakBefore w:val="0"/>
        <w:widowControl w:val="0"/>
        <w:spacing w:line="360" w:lineRule="auto"/>
        <w:rPr>
          <w:rFonts w:hint="eastAsia" w:ascii="宋体" w:hAnsi="宋体"/>
          <w:bCs/>
          <w:color w:val="auto"/>
          <w:sz w:val="24"/>
          <w:highlight w:val="none"/>
          <w:u w:val="single"/>
        </w:rPr>
      </w:pPr>
      <w:r>
        <w:rPr>
          <w:rFonts w:hint="eastAsia" w:ascii="宋体" w:hAnsi="宋体"/>
          <w:bCs/>
          <w:color w:val="auto"/>
          <w:sz w:val="24"/>
          <w:highlight w:val="none"/>
        </w:rPr>
        <w:t>法定（授权）代表人：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法定（授权）代表人：</w:t>
      </w:r>
      <w:r>
        <w:rPr>
          <w:rFonts w:hint="eastAsia" w:ascii="宋体" w:hAnsi="宋体"/>
          <w:bCs/>
          <w:color w:val="auto"/>
          <w:sz w:val="24"/>
          <w:highlight w:val="none"/>
          <w:u w:val="single"/>
        </w:rPr>
        <w:t xml:space="preserve">              </w:t>
      </w:r>
    </w:p>
    <w:p w14:paraId="4052A5B5">
      <w:pPr>
        <w:keepNext w:val="0"/>
        <w:keepLines w:val="0"/>
        <w:pageBreakBefore w:val="0"/>
        <w:widowControl w:val="0"/>
        <w:spacing w:line="360" w:lineRule="auto"/>
        <w:rPr>
          <w:rFonts w:hint="eastAsia" w:ascii="宋体" w:hAnsi="宋体"/>
          <w:bCs/>
          <w:color w:val="auto"/>
          <w:sz w:val="24"/>
          <w:highlight w:val="none"/>
          <w:u w:val="single"/>
        </w:rPr>
      </w:pP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14:paraId="54A85E2C">
      <w:pPr>
        <w:keepNext w:val="0"/>
        <w:keepLines w:val="0"/>
        <w:pageBreakBefore w:val="0"/>
        <w:widowControl w:val="0"/>
        <w:spacing w:line="360" w:lineRule="auto"/>
        <w:rPr>
          <w:rFonts w:hint="eastAsia" w:ascii="宋体" w:hAnsi="宋体"/>
          <w:bCs/>
          <w:color w:val="auto"/>
          <w:sz w:val="24"/>
          <w:highlight w:val="none"/>
          <w:u w:val="single"/>
        </w:rPr>
      </w:pPr>
      <w:r>
        <w:rPr>
          <w:rFonts w:hint="eastAsia" w:ascii="宋体" w:hAnsi="宋体"/>
          <w:bCs/>
          <w:color w:val="auto"/>
          <w:sz w:val="24"/>
          <w:highlight w:val="none"/>
        </w:rPr>
        <w:t xml:space="preserve">                                       乙方户名：</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p>
    <w:p w14:paraId="4423323D">
      <w:pPr>
        <w:keepNext w:val="0"/>
        <w:keepLines w:val="0"/>
        <w:pageBreakBefore w:val="0"/>
        <w:widowControl w:val="0"/>
        <w:spacing w:line="360" w:lineRule="auto"/>
        <w:rPr>
          <w:rFonts w:hint="eastAsia" w:ascii="宋体" w:hAnsi="宋体"/>
          <w:bCs/>
          <w:color w:val="auto"/>
          <w:sz w:val="24"/>
          <w:highlight w:val="none"/>
          <w:u w:val="single"/>
        </w:rPr>
      </w:pPr>
      <w:r>
        <w:rPr>
          <w:rFonts w:hint="eastAsia" w:ascii="宋体" w:hAnsi="宋体"/>
          <w:bCs/>
          <w:color w:val="auto"/>
          <w:sz w:val="24"/>
          <w:highlight w:val="none"/>
        </w:rPr>
        <w:t xml:space="preserve">                                       乙方开户银行：</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p>
    <w:p w14:paraId="691C0564">
      <w:pPr>
        <w:keepNext w:val="0"/>
        <w:keepLines w:val="0"/>
        <w:pageBreakBefore w:val="0"/>
        <w:widowControl w:val="0"/>
        <w:spacing w:line="360" w:lineRule="auto"/>
        <w:rPr>
          <w:rFonts w:hint="eastAsia" w:ascii="宋体" w:hAnsi="宋体"/>
          <w:bCs/>
          <w:color w:val="auto"/>
          <w:sz w:val="24"/>
          <w:highlight w:val="none"/>
          <w:u w:val="single"/>
        </w:rPr>
      </w:pPr>
      <w:r>
        <w:rPr>
          <w:rFonts w:hint="eastAsia" w:ascii="宋体" w:hAnsi="宋体"/>
          <w:bCs/>
          <w:color w:val="auto"/>
          <w:sz w:val="24"/>
          <w:highlight w:val="none"/>
        </w:rPr>
        <w:t xml:space="preserve">                                       乙方</w:t>
      </w:r>
      <w:r>
        <w:rPr>
          <w:rFonts w:hint="eastAsia" w:ascii="宋体" w:hAnsi="宋体"/>
          <w:bCs/>
          <w:color w:val="auto"/>
          <w:sz w:val="24"/>
          <w:highlight w:val="none"/>
          <w:lang w:eastAsia="zh-CN"/>
        </w:rPr>
        <w:t>账号</w:t>
      </w:r>
      <w:r>
        <w:rPr>
          <w:rFonts w:hint="eastAsia" w:ascii="宋体" w:hAnsi="宋体"/>
          <w:bCs/>
          <w:color w:val="auto"/>
          <w:sz w:val="24"/>
          <w:highlight w:val="none"/>
        </w:rPr>
        <w:t>：</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p>
    <w:p w14:paraId="485A557A">
      <w:pPr>
        <w:keepNext w:val="0"/>
        <w:keepLines w:val="0"/>
        <w:pageBreakBefore w:val="0"/>
        <w:widowControl w:val="0"/>
        <w:spacing w:line="360" w:lineRule="auto"/>
        <w:rPr>
          <w:rFonts w:hint="eastAsia" w:ascii="宋体" w:hAnsi="宋体"/>
          <w:bCs/>
          <w:color w:val="auto"/>
          <w:sz w:val="24"/>
          <w:highlight w:val="none"/>
        </w:rPr>
      </w:pPr>
      <w:r>
        <w:rPr>
          <w:rFonts w:hint="eastAsia" w:ascii="宋体" w:hAnsi="宋体"/>
          <w:bCs/>
          <w:color w:val="auto"/>
          <w:sz w:val="24"/>
          <w:highlight w:val="none"/>
        </w:rPr>
        <w:t>见证方：</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p w14:paraId="32382989">
      <w:pPr>
        <w:keepNext w:val="0"/>
        <w:keepLines w:val="0"/>
        <w:pageBreakBefore w:val="0"/>
        <w:widowControl w:val="0"/>
        <w:spacing w:line="360" w:lineRule="auto"/>
        <w:outlineLvl w:val="9"/>
        <w:rPr>
          <w:rFonts w:hint="eastAsia" w:ascii="宋体" w:hAnsi="宋体" w:eastAsia="宋体" w:cs="Times New Roman"/>
          <w:b w:val="0"/>
          <w:bCs/>
          <w:color w:val="auto"/>
          <w:sz w:val="24"/>
          <w:szCs w:val="24"/>
          <w:highlight w:val="none"/>
          <w:u w:val="none"/>
        </w:rPr>
      </w:pPr>
    </w:p>
    <w:p w14:paraId="33C53A38">
      <w:pPr>
        <w:keepNext w:val="0"/>
        <w:keepLines w:val="0"/>
        <w:pageBreakBefore w:val="0"/>
        <w:widowControl w:val="0"/>
        <w:spacing w:line="360" w:lineRule="auto"/>
        <w:outlineLvl w:val="9"/>
        <w:rPr>
          <w:rFonts w:hint="eastAsia" w:ascii="宋体" w:hAnsi="宋体" w:eastAsia="宋体" w:cs="Times New Roman"/>
          <w:b w:val="0"/>
          <w:bCs/>
          <w:color w:val="auto"/>
          <w:sz w:val="24"/>
          <w:szCs w:val="24"/>
          <w:highlight w:val="none"/>
          <w:u w:val="none"/>
        </w:rPr>
      </w:pPr>
      <w:r>
        <w:rPr>
          <w:rFonts w:hint="eastAsia" w:ascii="宋体" w:hAnsi="宋体" w:eastAsia="宋体" w:cs="Times New Roman"/>
          <w:b w:val="0"/>
          <w:bCs/>
          <w:color w:val="auto"/>
          <w:sz w:val="24"/>
          <w:szCs w:val="24"/>
          <w:highlight w:val="none"/>
          <w:u w:val="none"/>
        </w:rPr>
        <w:t>★备注</w:t>
      </w:r>
      <w:r>
        <w:rPr>
          <w:rFonts w:hint="eastAsia" w:ascii="宋体" w:hAnsi="宋体" w:eastAsia="宋体" w:cs="Times New Roman"/>
          <w:b w:val="0"/>
          <w:bCs/>
          <w:color w:val="auto"/>
          <w:sz w:val="24"/>
          <w:szCs w:val="24"/>
          <w:highlight w:val="none"/>
          <w:u w:val="none"/>
          <w:lang w:eastAsia="zh-CN"/>
        </w:rPr>
        <w:t>：</w:t>
      </w:r>
      <w:r>
        <w:rPr>
          <w:rFonts w:hint="eastAsia" w:ascii="宋体" w:hAnsi="宋体" w:eastAsia="宋体" w:cs="Times New Roman"/>
          <w:b w:val="0"/>
          <w:bCs/>
          <w:color w:val="auto"/>
          <w:sz w:val="24"/>
          <w:szCs w:val="24"/>
          <w:highlight w:val="none"/>
          <w:u w:val="none"/>
          <w:lang w:val="en-US" w:eastAsia="zh-CN"/>
        </w:rPr>
        <w:t>甲乙</w:t>
      </w:r>
      <w:r>
        <w:rPr>
          <w:rFonts w:hint="eastAsia" w:ascii="宋体" w:hAnsi="宋体" w:eastAsia="宋体" w:cs="Times New Roman"/>
          <w:b w:val="0"/>
          <w:bCs/>
          <w:color w:val="auto"/>
          <w:sz w:val="24"/>
          <w:szCs w:val="24"/>
          <w:highlight w:val="none"/>
          <w:u w:val="none"/>
        </w:rPr>
        <w:t>双方必须以本格式文本，按照合同条款拟订合同。</w:t>
      </w:r>
    </w:p>
    <w:p w14:paraId="2C08C77F">
      <w:pPr>
        <w:keepNext w:val="0"/>
        <w:keepLines w:val="0"/>
        <w:pageBreakBefore w:val="0"/>
        <w:widowControl w:val="0"/>
        <w:spacing w:line="360" w:lineRule="auto"/>
        <w:outlineLvl w:val="9"/>
        <w:rPr>
          <w:rFonts w:hint="eastAsia" w:ascii="宋体" w:hAnsi="宋体" w:eastAsia="宋体" w:cs="Times New Roman"/>
          <w:b w:val="0"/>
          <w:bCs/>
          <w:color w:val="auto"/>
          <w:sz w:val="24"/>
          <w:szCs w:val="24"/>
          <w:highlight w:val="none"/>
          <w:u w:val="none"/>
        </w:rPr>
        <w:sectPr>
          <w:pgSz w:w="11906" w:h="16838"/>
          <w:pgMar w:top="1134" w:right="1134" w:bottom="1134" w:left="1134" w:header="851" w:footer="992" w:gutter="0"/>
          <w:cols w:space="720" w:num="1"/>
          <w:rtlGutter w:val="0"/>
          <w:docGrid w:linePitch="360" w:charSpace="0"/>
        </w:sectPr>
      </w:pPr>
    </w:p>
    <w:p w14:paraId="4AFA33A4">
      <w:pPr>
        <w:spacing w:line="360" w:lineRule="auto"/>
        <w:jc w:val="center"/>
        <w:outlineLvl w:val="0"/>
        <w:rPr>
          <w:rFonts w:hint="eastAsia" w:ascii="黑体" w:eastAsia="黑体"/>
          <w:bCs/>
          <w:color w:val="auto"/>
          <w:sz w:val="28"/>
          <w:szCs w:val="28"/>
          <w:highlight w:val="none"/>
        </w:rPr>
      </w:pPr>
      <w:bookmarkStart w:id="5" w:name="_Toc13168"/>
      <w:r>
        <w:rPr>
          <w:rFonts w:hint="eastAsia" w:ascii="黑体" w:eastAsia="黑体"/>
          <w:bCs/>
          <w:color w:val="auto"/>
          <w:sz w:val="28"/>
          <w:szCs w:val="28"/>
          <w:highlight w:val="none"/>
          <w:lang w:val="en-US" w:eastAsia="zh-CN"/>
        </w:rPr>
        <w:t>五、合同条款</w:t>
      </w:r>
      <w:bookmarkEnd w:id="5"/>
    </w:p>
    <w:p w14:paraId="100B900F">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委托方（甲方）：</w:t>
      </w:r>
    </w:p>
    <w:p w14:paraId="701C698C">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受托方（乙方）：</w:t>
      </w:r>
    </w:p>
    <w:p w14:paraId="2FAA4919">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依照《中华人民共和国民法典》等法律法规及政策文件，甲方通过公开招标确定由乙方承担</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服务工作，双方遵循平等、自愿、公平和诚实信用的原则，在双方承诺招标文件全部内容（含招标补充文件）和被认定的投标文件（及补充说明）全部内容的基础上，签订本合同。</w:t>
      </w:r>
    </w:p>
    <w:p w14:paraId="24C5FABD">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一、定义</w:t>
      </w:r>
    </w:p>
    <w:p w14:paraId="7583431D">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除非另有特别解释或说明，本合同有关词语应按如下定义解释：</w:t>
      </w:r>
    </w:p>
    <w:p w14:paraId="7D6ED3EC">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合同：甲乙双方签署的，与本项目相关的协议、附件、附录和其他一切文件。</w:t>
      </w:r>
    </w:p>
    <w:p w14:paraId="396D94C3">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val="en-US" w:eastAsia="zh-CN" w:bidi="ar"/>
        </w:rPr>
        <w:t>甲方：委托本次招标活动的</w:t>
      </w:r>
      <w:r>
        <w:rPr>
          <w:rFonts w:hint="eastAsia" w:ascii="宋体" w:hAnsi="宋体" w:eastAsia="宋体" w:cs="宋体"/>
          <w:color w:val="auto"/>
          <w:kern w:val="0"/>
          <w:sz w:val="24"/>
          <w:szCs w:val="24"/>
          <w:highlight w:val="none"/>
          <w:u w:val="single"/>
          <w:lang w:val="en-US" w:eastAsia="zh-CN" w:bidi="ar"/>
        </w:rPr>
        <w:t xml:space="preserve">           。</w:t>
      </w:r>
    </w:p>
    <w:p w14:paraId="37657552">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乙方：提供本合同项下服务的法人、其他组织或自然人。</w:t>
      </w:r>
    </w:p>
    <w:p w14:paraId="780BF1B6">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4.</w:t>
      </w:r>
      <w:r>
        <w:rPr>
          <w:rFonts w:hint="eastAsia" w:ascii="宋体" w:hAnsi="宋体" w:eastAsia="宋体" w:cs="宋体"/>
          <w:color w:val="auto"/>
          <w:kern w:val="0"/>
          <w:sz w:val="24"/>
          <w:szCs w:val="24"/>
          <w:highlight w:val="none"/>
          <w:lang w:val="en-US" w:eastAsia="zh-CN" w:bidi="ar"/>
        </w:rPr>
        <w:t>服务：根据合同规定乙方承担的安全排查服务项目有关的工作内容。</w:t>
      </w:r>
    </w:p>
    <w:p w14:paraId="023DEF3F">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5.</w:t>
      </w:r>
      <w:r>
        <w:rPr>
          <w:rFonts w:hint="eastAsia" w:ascii="宋体" w:hAnsi="宋体" w:eastAsia="宋体" w:cs="宋体"/>
          <w:color w:val="auto"/>
          <w:kern w:val="0"/>
          <w:sz w:val="24"/>
          <w:szCs w:val="24"/>
          <w:highlight w:val="none"/>
          <w:lang w:val="en-US" w:eastAsia="zh-CN" w:bidi="ar"/>
        </w:rPr>
        <w:t>服务收费：根据合同规定乙方在履行完成合同义务后甲方应支付给乙方的价格，包括完成该项服务所需的一切费用，包括但不限于所有服务人员的工勤费用（包括工资、福利、交通、食宿、通讯等费用）等各项费用、各种税费、利润、税金、政策性文件规定及合同包含的所有风险、责任等各项应有的一切费用。</w:t>
      </w:r>
    </w:p>
    <w:p w14:paraId="27E81452">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二、组成本合同的文件</w:t>
      </w:r>
    </w:p>
    <w:p w14:paraId="76B02943">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下列文件是组成本合同的不可分割的部分：</w:t>
      </w:r>
    </w:p>
    <w:p w14:paraId="633F4E98">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（1）招标文件；</w:t>
      </w:r>
    </w:p>
    <w:p w14:paraId="5EBFF7D2">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（2）乙方提交的投标文件；</w:t>
      </w:r>
    </w:p>
    <w:p w14:paraId="21837B24">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（3）乙方所做的相关书面澄清；</w:t>
      </w:r>
    </w:p>
    <w:p w14:paraId="03D062B0">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（4）中标或成交通知书；</w:t>
      </w:r>
    </w:p>
    <w:p w14:paraId="24519DC1">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（5）甲乙双方商定的其他必要文件。</w:t>
      </w:r>
    </w:p>
    <w:p w14:paraId="53401CDE">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三、项目名称</w:t>
      </w:r>
    </w:p>
    <w:p w14:paraId="752D8FD0">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2025</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2027年鸿山街道特种设备安全、非特种设备升降平台安全和食品安全第三方信息化协管项目</w:t>
      </w:r>
    </w:p>
    <w:p w14:paraId="0330F09E">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四、服务时间</w:t>
      </w:r>
    </w:p>
    <w:p w14:paraId="4B7F8E39">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暂定时间从2025年</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月</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日 至2027年</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月</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日止， 具体开始时间由甲方通知时间为准，乙方在服务期限内应对受查企业进行安全排查，并分别出具书面排查报告。</w:t>
      </w:r>
    </w:p>
    <w:p w14:paraId="2CA8FCB6">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五、服务内容及要求</w:t>
      </w:r>
    </w:p>
    <w:p w14:paraId="08A6C790">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（一）服务区域</w:t>
      </w:r>
    </w:p>
    <w:p w14:paraId="584ABA41">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鸿山街道管辖区域内目前登记在册特种设备6511台，特种设备使用单位1011家，非特种设备类升降平台104台，小餐饮服务单位544家，食品小作坊生产加工者40家。具体数量和区域根据鸿山街道实际情况确定。</w:t>
      </w:r>
    </w:p>
    <w:p w14:paraId="05F9ECCD">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（二）服务内容：</w:t>
      </w:r>
    </w:p>
    <w:p w14:paraId="55D86B4C">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1.特种设备安全服务内容</w:t>
      </w:r>
    </w:p>
    <w:p w14:paraId="07796232">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提供鸿山街道范围内特种设备使用单位的安全技术服务工作，在监管部门的指导下制定底数摸排计划，明确区域、单位、时间、地点、人员等信息。根据特种设备底数表单信息，第三方专业技术人员在现场进行基础信息核对，过程中对表单涉及单位进行信息采集，对表单涉及单位的现场情况、资料文件按照法律法规，安全技术规范的要求进行有效性、一致性确认，摸排台账经梳理汇总后，报送监管部门。</w:t>
      </w:r>
    </w:p>
    <w:p w14:paraId="0875FA30">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2）特种设备的安全服务技术标准“清单”化，为监管部门提供技术支持和风险排查服务。对安全技术服务过程中发现的隐患，及时记录汇总，结合监管部门提供的智慧监管平台数据，对前述隐患进行自动归类、综合分析、出具整改建议，形成书面报告报送监管部门。   </w:t>
      </w:r>
    </w:p>
    <w:p w14:paraId="6AA9A02E">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（3）协助掌握辖区内的特种设备使用单位及设备的数量、使用状况；现场指导特种设备使用单位落实企业主体责任；</w:t>
      </w:r>
    </w:p>
    <w:p w14:paraId="284B9CB0">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（4）排摸辖区内特种设备使用单位存在的安全隐患，指导企业完成安全隐患闭环；发现隐患及时上报，并协助安全监察人员及时处置；</w:t>
      </w:r>
    </w:p>
    <w:p w14:paraId="736CB60C">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（5）宣传特种设备安全，普及安全使用特种设备知识；</w:t>
      </w:r>
    </w:p>
    <w:p w14:paraId="6D64BE23">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（6）协助做好新吴区特种设备安全监管其他各项工作。</w:t>
      </w:r>
    </w:p>
    <w:p w14:paraId="0BE96489">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（7）协助完成市场监管部门赋予的其他临时性任务。</w:t>
      </w:r>
    </w:p>
    <w:p w14:paraId="746FB7D0">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val="en-US" w:eastAsia="zh-CN" w:bidi="ar"/>
        </w:rPr>
        <w:t>食品安全服务内容</w:t>
      </w:r>
    </w:p>
    <w:p w14:paraId="39ADB6E1">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实地开展对鸿山街道的商圈广场及周边餐饮服务单位和流通单位约2900家现场排查。对照《餐饮服务日常监督检查要点表》对餐饮服务单位开展日常排查，排查食品安全风险隐患。指导餐饮单位落实主体责任、创新管理方式、规范操作过程和提升服务质量。对照排查中发现的不符合项目，指导餐饮单位现场调整，问题调整率达到80%以上。排查中发现的违法案件线索信息，及时报送辖区市场监督管理局分局，报送率100%。</w:t>
      </w:r>
    </w:p>
    <w:p w14:paraId="43E6B792">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建立“一户一档”动态管理档案。充分发挥互联网+大数据等信息化技术作用，本次专业服务机构应建立和完善餐饮服务单位信息管理数据平台，结合排查工作及时将餐饮服务单位登记许可、日常排查、风险隐患、问题整改和动态排查等基本信息进行录入，建立“一户一档”动态管理档案，通过数据分析，产生食品安全动态管理等级，对每户餐饮服务单位的食品安全风险隐患数据进行分析，为精准监管、靶向执法提供技术支持。</w:t>
      </w:r>
    </w:p>
    <w:p w14:paraId="1D499945">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实行食品安全分级管控。通过排查结果将餐饮服务单位进行食品安全风险等级划分，不同等级反映排查隐患的数量和风险严重程度，根据食品安全风险等级确定相应的排查频次。根据餐饮服务单位食品安全问题隐患的调整情况，对食品安全风险等级进行动态调整。</w:t>
      </w:r>
    </w:p>
    <w:p w14:paraId="132B9D3F">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4）实行动态信息“双公示”。建立信息平台线下“一户码”和设立食品安全动态信息公示牌等方式，将每户餐饮服务单位和流通单位的基本信息、食品安全动态问题隐患和风险等级等信息向社会公众开放，让社会公众能够实时了解每户餐饮服务单位的食品安全状况，切实维护消费者利益，促使餐饮服务单位主体自觉落实食品安全主体责任。</w:t>
      </w:r>
    </w:p>
    <w:p w14:paraId="38931018">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（5）食品安全工作以鸿山街道市场监管局各个阶段食品工作为主，积极配合协助完成相应食品安全专项工作和其他专项工作。</w:t>
      </w:r>
    </w:p>
    <w:p w14:paraId="4B698D11">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（三）服务要求：</w:t>
      </w:r>
    </w:p>
    <w:p w14:paraId="47F1D097">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1.特种设备安全服务要求</w:t>
      </w:r>
    </w:p>
    <w:p w14:paraId="72760F20">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坚持公平公正、依据充分、绩效量化、过程严谨的原则，交通食宿自理，并严格遵守中央八项规定。投标人工作人员除开展正常工作以外，不得与有关单位发生不正当的利益关系；如发生类似情况，招标人有权单方终止合同并依照合同追究相关法律责任。</w:t>
      </w:r>
    </w:p>
    <w:p w14:paraId="448D6170">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中标供应商对特种设备使用单位进行特种设备安全技术服务后，须建立工作台账，上传至特种设备安全信息化系统，供被排查单位及监管部门查阅下载。投标人对特种设备安全隐患问题向监管部门报告100%，并有相关记录，定期向招标人报送分析报告。</w:t>
      </w:r>
    </w:p>
    <w:p w14:paraId="7D1543DC">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（3）对使用特种设备的单位的技术服务要求详见标准《DB33/T 2126-2018特种设备使用安全管理分类评价规范》。</w:t>
      </w:r>
    </w:p>
    <w:p w14:paraId="2C3F5902">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2.食品安全服务要求</w:t>
      </w:r>
    </w:p>
    <w:p w14:paraId="37D11B10">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中标供应商对服务区餐饮服务提供者季度排查覆盖率达到80%以上，发现隐患数及整改率指导调整率80%以上、关键不符合项督促调整率80%以上，关键不符合项线索向辖区市场监督管理局分局报告率100%，并有相关记录，定期向招标人报送排查结果分析报告；</w:t>
      </w:r>
    </w:p>
    <w:p w14:paraId="1E6E9ABA">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2）服务期内，服务区域餐饮服务提供者不发生重大群体性食品安全事故，不发生区域性、系统性食品安全风险。调查发现中标供应商未排查到位的，招标人有权立刻终止合同并依照合同追究服务单位相关法律责任； </w:t>
      </w:r>
    </w:p>
    <w:p w14:paraId="4031BB53">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中标供应商应针对实际情况对排查人员巡查区域进行定期调换；中标供应商监督排查人员除开展正常工作以外，不得与餐饮服务单位发生不正当的利益关系；如发生类似情况，招标人有权单方终止合同并依照合同追究相关法律责任。</w:t>
      </w:r>
    </w:p>
    <w:p w14:paraId="6FDACED9">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3.其他</w:t>
      </w:r>
    </w:p>
    <w:p w14:paraId="0A709500">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（1）为服务项目完成做好基础保障，包括但不限于组建专业团队，建立完善第三方协作管理团队的工作制度（流程管理、内部培训等）及考核标准。</w:t>
      </w:r>
    </w:p>
    <w:p w14:paraId="6321C8C0">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（2）中标供应商须无条件服从采购人交办的各项临时应急性任务。</w:t>
      </w:r>
    </w:p>
    <w:p w14:paraId="4A6C9401">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（3）项目完成后，中标供应商应收集汇总交接所有工作过程中产生的相关资料供采购人验收，包含但不限于现场工作记录、图片、汇总台账、排查报告等，并注意履行保密义务 。</w:t>
      </w:r>
    </w:p>
    <w:p w14:paraId="04E58AFF">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（4）中标供应商不得将项目分包、转包给其他单位或者人员，一经发现，招标人立即终止合同，任何款项不予支付。</w:t>
      </w:r>
    </w:p>
    <w:p w14:paraId="052CE851">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5）中标供应商要加强对风险排查质量的管理，保证风险排查结果公正、真实，不得弄虚作假，隐瞒真实情况或帮助特种设备使用单位隐瞒事故隐患。被查使用单位安全隐患经闭环确认后如再发现存在重大安全风险隐患的，招标人将中标供应商列入招标人排查单位黑名单（现场排查后新增特种设备隐患除外）。</w:t>
      </w:r>
    </w:p>
    <w:p w14:paraId="60CC9FE8">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（6）中标供应商要加强对风险排查人员的管理，中标供应商安排的风险排查人</w:t>
      </w:r>
      <w:r>
        <w:rPr>
          <w:rFonts w:hint="eastAsia" w:ascii="宋体" w:hAnsi="宋体" w:cs="宋体"/>
          <w:color w:val="auto"/>
          <w:kern w:val="0"/>
          <w:sz w:val="24"/>
          <w:szCs w:val="24"/>
          <w:highlight w:val="none"/>
          <w:lang w:val="en-US" w:eastAsia="zh-CN" w:bidi="ar"/>
        </w:rPr>
        <w:t>员在</w:t>
      </w:r>
      <w:r>
        <w:rPr>
          <w:rFonts w:hint="eastAsia" w:ascii="宋体" w:hAnsi="宋体" w:eastAsia="宋体" w:cs="宋体"/>
          <w:color w:val="auto"/>
          <w:kern w:val="0"/>
          <w:sz w:val="24"/>
          <w:szCs w:val="24"/>
          <w:highlight w:val="none"/>
          <w:lang w:val="en-US" w:eastAsia="zh-CN" w:bidi="ar"/>
        </w:rPr>
        <w:t>现场风险排查时应主动出示授权委托书、工作证，说明来意，不得以风险排查为名，向被风险排查单位收取财物或者其他好处；不得在风险排查过程中向相关单位推销产品和服务或强迫企业接受相关产品和服务；不得泄露相关单位的技术和商业秘密。</w:t>
      </w:r>
    </w:p>
    <w:p w14:paraId="71B4A73B">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（7）中标供应商要加强对所属风险排查人员的安全教育和管理，确保风险排查过程中风险排查人员的人身安全，建议为风险排查人员购买人身意外保险。</w:t>
      </w:r>
    </w:p>
    <w:p w14:paraId="6CE8F84E">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（8）中标供应商应在规定时间内完成风险排查任务，并向采购方提供现场风险排查记录、整改见证资料、风险排查总结以及《风险排查情况汇总表》。</w:t>
      </w:r>
    </w:p>
    <w:p w14:paraId="56BB546E">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（9）中标供应商须拥有信息分析汇总人员，能够完成特种设备使用单位安全状况分析工作。风险排查工作结束后，中标供应商应向采购方提交总结分析报告（书面两份，电子版本一份）。</w:t>
      </w:r>
    </w:p>
    <w:p w14:paraId="3B1BE02D">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（10）中标供应商必须自觉接受招标人的监督、检查和指导。</w:t>
      </w:r>
    </w:p>
    <w:p w14:paraId="46E19E9E">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（11）中标供应商有保密义务，不得向除招标人外的任何单位与个人透露与排查相关的信息，否则取消其排查资格；如造成经济损失及不良影响的，追究其经济赔偿责任和法律责任。</w:t>
      </w:r>
    </w:p>
    <w:p w14:paraId="5ABEBCB0">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六、甲乙双方职责和义务</w:t>
      </w:r>
    </w:p>
    <w:p w14:paraId="6989A83C">
      <w:pPr>
        <w:pStyle w:val="464"/>
        <w:widowControl/>
        <w:spacing w:line="360" w:lineRule="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eastAsia="zh-CN"/>
        </w:rPr>
        <w:t>1.</w:t>
      </w:r>
      <w:r>
        <w:rPr>
          <w:rFonts w:hint="eastAsia" w:ascii="宋体" w:hAnsi="宋体" w:eastAsia="宋体" w:cs="宋体"/>
          <w:color w:val="auto"/>
          <w:spacing w:val="0"/>
          <w:sz w:val="24"/>
          <w:szCs w:val="24"/>
          <w:highlight w:val="none"/>
        </w:rPr>
        <w:t>甲方的职责和义务</w:t>
      </w:r>
    </w:p>
    <w:p w14:paraId="3AFB37FE">
      <w:pPr>
        <w:pStyle w:val="464"/>
        <w:widowControl/>
        <w:spacing w:line="360" w:lineRule="auto"/>
        <w:rPr>
          <w:rFonts w:hint="eastAsia" w:ascii="宋体" w:hAnsi="宋体" w:eastAsia="宋体" w:cs="宋体"/>
          <w:bCs/>
          <w:color w:val="auto"/>
          <w:spacing w:val="0"/>
          <w:sz w:val="24"/>
          <w:szCs w:val="24"/>
          <w:highlight w:val="none"/>
        </w:rPr>
      </w:pPr>
      <w:r>
        <w:rPr>
          <w:rFonts w:hint="eastAsia" w:ascii="宋体" w:hAnsi="宋体" w:eastAsia="宋体" w:cs="宋体"/>
          <w:color w:val="auto"/>
          <w:spacing w:val="0"/>
          <w:sz w:val="24"/>
          <w:szCs w:val="24"/>
          <w:highlight w:val="none"/>
        </w:rPr>
        <w:t>（1）要</w:t>
      </w:r>
      <w:r>
        <w:rPr>
          <w:rFonts w:hint="eastAsia" w:ascii="宋体" w:hAnsi="宋体" w:eastAsia="宋体" w:cs="宋体"/>
          <w:bCs/>
          <w:color w:val="auto"/>
          <w:spacing w:val="0"/>
          <w:sz w:val="24"/>
          <w:szCs w:val="24"/>
          <w:highlight w:val="none"/>
        </w:rPr>
        <w:t>求受查企业如实向乙方提供安全管理基础资料信息。</w:t>
      </w:r>
    </w:p>
    <w:p w14:paraId="3FE98F6E">
      <w:pPr>
        <w:pStyle w:val="464"/>
        <w:widowControl/>
        <w:spacing w:line="360" w:lineRule="auto"/>
        <w:rPr>
          <w:rFonts w:hint="eastAsia" w:ascii="宋体" w:hAnsi="宋体" w:eastAsia="宋体" w:cs="宋体"/>
          <w:bCs/>
          <w:color w:val="auto"/>
          <w:spacing w:val="0"/>
          <w:sz w:val="24"/>
          <w:szCs w:val="24"/>
          <w:highlight w:val="none"/>
        </w:rPr>
      </w:pPr>
      <w:r>
        <w:rPr>
          <w:rFonts w:hint="eastAsia" w:ascii="宋体" w:hAnsi="宋体" w:eastAsia="宋体" w:cs="宋体"/>
          <w:color w:val="auto"/>
          <w:spacing w:val="0"/>
          <w:sz w:val="24"/>
          <w:szCs w:val="24"/>
          <w:highlight w:val="none"/>
        </w:rPr>
        <w:t>（2）</w:t>
      </w:r>
      <w:r>
        <w:rPr>
          <w:rFonts w:hint="eastAsia" w:ascii="宋体" w:hAnsi="宋体" w:eastAsia="宋体" w:cs="宋体"/>
          <w:bCs/>
          <w:color w:val="auto"/>
          <w:spacing w:val="0"/>
          <w:sz w:val="24"/>
          <w:szCs w:val="24"/>
          <w:highlight w:val="none"/>
        </w:rPr>
        <w:t>为乙方委派人员提供对接工作的人员（姓名</w:t>
      </w:r>
      <w:r>
        <w:rPr>
          <w:rFonts w:hint="eastAsia" w:ascii="宋体" w:hAnsi="宋体" w:eastAsia="宋体" w:cs="宋体"/>
          <w:bCs/>
          <w:color w:val="auto"/>
          <w:spacing w:val="0"/>
          <w:sz w:val="24"/>
          <w:szCs w:val="24"/>
          <w:highlight w:val="none"/>
          <w:u w:val="single"/>
        </w:rPr>
        <w:t>：     ，</w:t>
      </w:r>
      <w:r>
        <w:rPr>
          <w:rFonts w:hint="eastAsia" w:ascii="宋体" w:hAnsi="宋体" w:eastAsia="宋体" w:cs="宋体"/>
          <w:bCs/>
          <w:color w:val="auto"/>
          <w:spacing w:val="0"/>
          <w:sz w:val="24"/>
          <w:szCs w:val="24"/>
          <w:highlight w:val="none"/>
        </w:rPr>
        <w:t>联系电话</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 ），为乙方顺利开展技术服务工作提供相关的协助和支持。</w:t>
      </w:r>
    </w:p>
    <w:p w14:paraId="7C7A4494">
      <w:pPr>
        <w:pStyle w:val="464"/>
        <w:widowControl/>
        <w:spacing w:line="360" w:lineRule="auto"/>
        <w:rPr>
          <w:rFonts w:hint="eastAsia" w:ascii="宋体" w:hAnsi="宋体" w:eastAsia="宋体" w:cs="宋体"/>
          <w:bCs/>
          <w:color w:val="auto"/>
          <w:spacing w:val="0"/>
          <w:sz w:val="24"/>
          <w:szCs w:val="24"/>
          <w:highlight w:val="none"/>
        </w:rPr>
      </w:pPr>
      <w:r>
        <w:rPr>
          <w:rFonts w:hint="eastAsia" w:ascii="宋体" w:hAnsi="宋体" w:eastAsia="宋体" w:cs="宋体"/>
          <w:color w:val="auto"/>
          <w:spacing w:val="0"/>
          <w:sz w:val="24"/>
          <w:szCs w:val="24"/>
          <w:highlight w:val="none"/>
        </w:rPr>
        <w:t>（3）</w:t>
      </w:r>
      <w:r>
        <w:rPr>
          <w:rFonts w:hint="eastAsia" w:ascii="宋体" w:hAnsi="宋体" w:eastAsia="宋体" w:cs="宋体"/>
          <w:bCs/>
          <w:color w:val="auto"/>
          <w:spacing w:val="0"/>
          <w:sz w:val="24"/>
          <w:szCs w:val="24"/>
          <w:highlight w:val="none"/>
        </w:rPr>
        <w:t>按双方约定及时向乙方支付服务费。</w:t>
      </w:r>
    </w:p>
    <w:p w14:paraId="7E28FD89">
      <w:pPr>
        <w:pStyle w:val="464"/>
        <w:widowControl/>
        <w:spacing w:line="360" w:lineRule="auto"/>
        <w:rPr>
          <w:rFonts w:hint="eastAsia" w:ascii="宋体" w:hAnsi="宋体" w:eastAsia="宋体" w:cs="宋体"/>
          <w:bCs/>
          <w:color w:val="auto"/>
          <w:spacing w:val="0"/>
          <w:sz w:val="24"/>
          <w:szCs w:val="24"/>
          <w:highlight w:val="none"/>
        </w:rPr>
      </w:pPr>
      <w:r>
        <w:rPr>
          <w:rFonts w:hint="eastAsia" w:ascii="宋体" w:hAnsi="宋体" w:eastAsia="宋体" w:cs="宋体"/>
          <w:color w:val="auto"/>
          <w:spacing w:val="0"/>
          <w:sz w:val="24"/>
          <w:szCs w:val="24"/>
          <w:highlight w:val="none"/>
        </w:rPr>
        <w:t>（4）</w:t>
      </w:r>
      <w:r>
        <w:rPr>
          <w:rFonts w:hint="eastAsia" w:ascii="宋体" w:hAnsi="宋体" w:eastAsia="宋体" w:cs="宋体"/>
          <w:bCs/>
          <w:color w:val="auto"/>
          <w:spacing w:val="0"/>
          <w:sz w:val="24"/>
          <w:szCs w:val="24"/>
          <w:highlight w:val="none"/>
        </w:rPr>
        <w:t>与本协议咨询服务范围有关的甲方其他职责和义务。</w:t>
      </w:r>
    </w:p>
    <w:p w14:paraId="59057EE3">
      <w:pPr>
        <w:pStyle w:val="464"/>
        <w:widowControl/>
        <w:spacing w:line="360" w:lineRule="auto"/>
        <w:rPr>
          <w:rFonts w:hint="eastAsia" w:ascii="宋体" w:hAnsi="宋体" w:eastAsia="宋体" w:cs="宋体"/>
          <w:bCs/>
          <w:color w:val="auto"/>
          <w:spacing w:val="0"/>
          <w:sz w:val="24"/>
          <w:szCs w:val="24"/>
          <w:highlight w:val="none"/>
        </w:rPr>
      </w:pPr>
      <w:r>
        <w:rPr>
          <w:rFonts w:hint="eastAsia" w:ascii="宋体" w:hAnsi="宋体" w:cs="宋体"/>
          <w:bCs/>
          <w:color w:val="auto"/>
          <w:spacing w:val="0"/>
          <w:sz w:val="24"/>
          <w:szCs w:val="24"/>
          <w:highlight w:val="none"/>
          <w:lang w:eastAsia="zh-CN"/>
        </w:rPr>
        <w:t>2.</w:t>
      </w:r>
      <w:r>
        <w:rPr>
          <w:rFonts w:hint="eastAsia" w:ascii="宋体" w:hAnsi="宋体" w:eastAsia="宋体" w:cs="宋体"/>
          <w:bCs/>
          <w:color w:val="auto"/>
          <w:spacing w:val="0"/>
          <w:sz w:val="24"/>
          <w:szCs w:val="24"/>
          <w:highlight w:val="none"/>
        </w:rPr>
        <w:t>乙方的职责和义务</w:t>
      </w:r>
    </w:p>
    <w:p w14:paraId="0B5F9820">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pacing w:val="0"/>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为服务项目完成做好基础保障，包括但不限于组建专业团队，建立完善第三方协作管理团队的工作制度（流程管理、内部培训等）及考核标准。</w:t>
      </w:r>
    </w:p>
    <w:p w14:paraId="144EC0BA">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（2）乙方须无条件服从甲方交办的各项临时应急性任务。</w:t>
      </w:r>
    </w:p>
    <w:p w14:paraId="5AF36A41">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（3）项目完成后，乙方应收集汇总交接所有工作过程中产生的相关资料供甲方验收，包含但不限于现场工作记录、图片、汇总台账、排查报告等，并注意履行保密义务 。</w:t>
      </w:r>
    </w:p>
    <w:p w14:paraId="536B5A41">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（4）乙方不得将项目分包、转包给其他单位或者人员，一经发现，甲方立即终止合同，任何款项不予支付。</w:t>
      </w:r>
    </w:p>
    <w:p w14:paraId="2335F6AB">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5）乙方要加强对排查质量的管理，保证排查结果公正、真实，不得弄虚作假，隐瞒真实情况或帮助特种设备使用单位隐瞒事故隐患。被查使用单位安全隐患经闭环确认后如再发现存在重大安全风险隐患的，甲方将乙方列入甲方排查单位黑名单（现场排查后新增特种设备隐患除外）。</w:t>
      </w:r>
    </w:p>
    <w:p w14:paraId="0CD088F4">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6）乙方要加强对排查人员的管理，乙方安排的排查人员现场排查时应主动出示授权委托书、工作证，说明来意，不得以排查为名，向被排查单位收取财物或者其他好处；不得在排查过程中向相关单位推销产品和服务或强迫企业接受相关产品和服务；不得泄露相关单位的技术和商业秘密。</w:t>
      </w:r>
    </w:p>
    <w:p w14:paraId="0F150968">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（7）乙方要加强对所属排查人员的安全教育和管理，确保排查过程中排查人员的人身安全，建议为排查人员购买人身意外保险。</w:t>
      </w:r>
    </w:p>
    <w:p w14:paraId="0FB20B05">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（8）乙方应在规定时间内完成排查任务，并向甲方提供现场排查记录、整改见证资料、排查总结以及《排查情况汇总表》。</w:t>
      </w:r>
    </w:p>
    <w:p w14:paraId="5751E118">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（9）乙方须拥有信息分析汇总人员，能够完成特种设备使用单位安全状况分析工作。排查工作结束后，乙方应向甲方提交总结分析报告（纸质两份，电子版本一份）。</w:t>
      </w:r>
    </w:p>
    <w:p w14:paraId="52F3815A">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（11）乙方必须自觉接受甲方的监督、检查和指导。</w:t>
      </w:r>
    </w:p>
    <w:p w14:paraId="7F2EBBBC">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（12）乙方有保密义务，不得向除甲方外的任何单位与个人透露与排查相关的信息，否则取消其排查资格；如造成经济损失及不良影响的，追究其经济赔偿责任和法律责任。</w:t>
      </w:r>
    </w:p>
    <w:p w14:paraId="0B0DB9E9">
      <w:pPr>
        <w:keepNext w:val="0"/>
        <w:keepLines w:val="0"/>
        <w:widowControl/>
        <w:suppressLineNumbers w:val="0"/>
        <w:spacing w:before="0" w:beforeAutospacing="0" w:after="0" w:afterAutospacing="0" w:line="360" w:lineRule="auto"/>
        <w:ind w:left="0" w:right="0"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七、合同价款和支付</w:t>
      </w:r>
    </w:p>
    <w:p w14:paraId="033FD01B">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合同价格按此次中标价格执行：</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w:t>
      </w:r>
    </w:p>
    <w:p w14:paraId="4DDD62E0">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val="en-US" w:eastAsia="zh-CN" w:bidi="ar"/>
        </w:rPr>
        <w:t>付款步骤：服务费每三个月凭考核结果结算一次，于次季度首月5日前将上季度发票送交甲方，甲方在次季度首月15日前将上季度服务费扣除考核罚款费用汇入乙方指定银行账户。</w:t>
      </w:r>
    </w:p>
    <w:p w14:paraId="24FEBAED">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乙方必须在应付价款的使用时，保证支付人员工资，甲方有监督的权利。如实际乙方未及时支付人员工资，甲方有权直接从应付价款中扣除该费用，用于直接支付人员工资。</w:t>
      </w:r>
    </w:p>
    <w:p w14:paraId="44C6E1FD">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4.</w:t>
      </w:r>
      <w:r>
        <w:rPr>
          <w:rFonts w:hint="eastAsia" w:ascii="宋体" w:hAnsi="宋体" w:eastAsia="宋体" w:cs="宋体"/>
          <w:color w:val="auto"/>
          <w:kern w:val="0"/>
          <w:sz w:val="24"/>
          <w:szCs w:val="24"/>
          <w:highlight w:val="none"/>
          <w:lang w:val="en-US" w:eastAsia="zh-CN" w:bidi="ar"/>
        </w:rPr>
        <w:t>服务区域范围发生变动，需经甲方同意，应付价款由双方协商后确定。</w:t>
      </w:r>
    </w:p>
    <w:p w14:paraId="72227871">
      <w:pPr>
        <w:keepNext w:val="0"/>
        <w:keepLines w:val="0"/>
        <w:widowControl/>
        <w:suppressLineNumbers w:val="0"/>
        <w:spacing w:before="0" w:beforeAutospacing="0" w:after="0" w:afterAutospacing="0" w:line="360" w:lineRule="auto"/>
        <w:ind w:left="0" w:right="0"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八、违约责任</w:t>
      </w:r>
    </w:p>
    <w:p w14:paraId="089AEC97">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当事人一方如不履行本合同义务或履行本合同义务不符合约定而给对方造成损失的，应对损失进行赔偿（包括各种因之产生的费用、开支、额外责任，以及合同履行后所可以获得的直接利益）；但遭受损失方必须提供相关损失的证明，且不得超过违约方订立合同时预见到或应当预见到的因违约行为所可能造成的损失。</w:t>
      </w:r>
    </w:p>
    <w:p w14:paraId="4335803C">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val="en-US" w:eastAsia="zh-CN" w:bidi="ar"/>
        </w:rPr>
        <w:t>甲方对乙方承诺的服务质量执行情况进行监督检查，累计一次违反规定的，甲方向乙方发出书面警告并责令限期整改。累计二次违反规定的，甲方有权解除合同并取消乙方的服务单位资格。</w:t>
      </w:r>
    </w:p>
    <w:p w14:paraId="510D73A7">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乙方如有下列违约行为之一的，甲方有权立即解除合同，取消乙方的服务单位资格：</w:t>
      </w:r>
    </w:p>
    <w:p w14:paraId="0F1A4195">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（1）乙方办公场所不符合招标相关要求或未实际开展办公活动；</w:t>
      </w:r>
    </w:p>
    <w:p w14:paraId="4738B005">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（2）项目组成员同时受聘于两家技术服务机构或以其他单位名义编制和出具评价报告等技术文件；</w:t>
      </w:r>
    </w:p>
    <w:p w14:paraId="7AE44A36">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（3）合同期内项目组成员变动未提前书面告知甲方并取得甲方同意；</w:t>
      </w:r>
    </w:p>
    <w:p w14:paraId="376FD6FB">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（4）遭服务企业对其提供的服务提出投诉5次以上，经甲方核查属有效投诉；</w:t>
      </w:r>
    </w:p>
    <w:p w14:paraId="44358308">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（5）乙方在合同执行期间被安监系统通报有不良行为记录的；</w:t>
      </w:r>
    </w:p>
    <w:p w14:paraId="69D6A3D7">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（6）其他违约情形。</w:t>
      </w:r>
    </w:p>
    <w:p w14:paraId="6F5F61AD">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4.</w:t>
      </w:r>
      <w:r>
        <w:rPr>
          <w:rFonts w:hint="eastAsia" w:ascii="宋体" w:hAnsi="宋体" w:eastAsia="宋体" w:cs="宋体"/>
          <w:color w:val="auto"/>
          <w:kern w:val="0"/>
          <w:sz w:val="24"/>
          <w:szCs w:val="24"/>
          <w:highlight w:val="none"/>
          <w:lang w:val="en-US" w:eastAsia="zh-CN" w:bidi="ar"/>
        </w:rPr>
        <w:t>乙方有下列情况之一时，甲方有权调整乙方的工作内容或者解除本合同：</w:t>
      </w:r>
    </w:p>
    <w:p w14:paraId="7D273E4B">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（1）乙方在招投标过程中所提供的材料不客观真实；</w:t>
      </w:r>
    </w:p>
    <w:p w14:paraId="6C065081">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（2）乙方在中标前有被安监系统通报有不良行为记录的；</w:t>
      </w:r>
    </w:p>
    <w:p w14:paraId="57ACE8AA">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（3）乙方在排查中走过场，弄虚作假，隐瞒真实情况；或帮助企业隐瞒重大事故隐患并造成严重后果；</w:t>
      </w:r>
    </w:p>
    <w:p w14:paraId="75CE8BCD">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（4）不严格执行各级关于对技术服务机构的管理规定，不主动接受甲方的监督、检查和指导，不配合区镇两级监督部门及其工作人员依法实施的监督检查；</w:t>
      </w:r>
    </w:p>
    <w:p w14:paraId="63675E86">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（5）以服务为名，向服务企业收取财物或者其他好处的；</w:t>
      </w:r>
    </w:p>
    <w:p w14:paraId="13AFAA80">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（6）在服务企业过程中向相关企业推销产品和服务或以政府及乙方名义强迫企业接受相关产品和服务；</w:t>
      </w:r>
    </w:p>
    <w:p w14:paraId="5AB28E00">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（7）由非项目组成员代替项目组成员进行现场排查</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由项目组成员在相关文书上签字确认；</w:t>
      </w:r>
    </w:p>
    <w:p w14:paraId="13462CCD">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（8）乙方连续</w:t>
      </w:r>
      <w:r>
        <w:rPr>
          <w:rFonts w:hint="eastAsia" w:ascii="宋体" w:hAnsi="宋体" w:cs="宋体"/>
          <w:color w:val="auto"/>
          <w:kern w:val="0"/>
          <w:sz w:val="24"/>
          <w:szCs w:val="24"/>
          <w:highlight w:val="none"/>
          <w:lang w:val="en-US" w:eastAsia="zh-CN" w:bidi="ar"/>
        </w:rPr>
        <w:t>两个</w:t>
      </w:r>
      <w:r>
        <w:rPr>
          <w:rFonts w:hint="eastAsia" w:ascii="宋体" w:hAnsi="宋体" w:eastAsia="宋体" w:cs="宋体"/>
          <w:color w:val="auto"/>
          <w:kern w:val="0"/>
          <w:sz w:val="24"/>
          <w:szCs w:val="24"/>
          <w:highlight w:val="none"/>
          <w:lang w:val="en-US" w:eastAsia="zh-CN" w:bidi="ar"/>
        </w:rPr>
        <w:t>月未能向甲方提供排查工作活动视频、照片资料。</w:t>
      </w:r>
    </w:p>
    <w:p w14:paraId="52401AD1">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5.</w:t>
      </w:r>
      <w:r>
        <w:rPr>
          <w:rFonts w:hint="eastAsia" w:ascii="宋体" w:hAnsi="宋体" w:eastAsia="宋体" w:cs="宋体"/>
          <w:color w:val="auto"/>
          <w:kern w:val="0"/>
          <w:sz w:val="24"/>
          <w:szCs w:val="24"/>
          <w:highlight w:val="none"/>
          <w:lang w:val="en-US" w:eastAsia="zh-CN" w:bidi="ar"/>
        </w:rPr>
        <w:t>因乙方原因导致合同解除或终止，或者乙方经考核不合格且整改后再行考核仍不合格，乙方应全部退还甲方已支付的合同款项，并承担由此造成的一切损失。详细评分标准见“考核标准”。</w:t>
      </w:r>
    </w:p>
    <w:p w14:paraId="201019F6">
      <w:pPr>
        <w:keepNext w:val="0"/>
        <w:keepLines w:val="0"/>
        <w:widowControl/>
        <w:suppressLineNumbers w:val="0"/>
        <w:spacing w:before="0" w:beforeAutospacing="0" w:after="0" w:afterAutospacing="0" w:line="360" w:lineRule="auto"/>
        <w:ind w:left="0" w:right="0"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九、不可抗力</w:t>
      </w:r>
    </w:p>
    <w:p w14:paraId="7549A12F">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因不可抗力不能履行合同的，根据不可抗力的影响，部分或者全部免除责任。但合同一方延迟履行后发生不可抗力的，不能免除责任。</w:t>
      </w:r>
    </w:p>
    <w:p w14:paraId="54569AD7">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val="en-US" w:eastAsia="zh-CN" w:bidi="ar"/>
        </w:rPr>
        <w:t>合同一方因不可抗力不能履行合同的，应当及时通知对方，以减轻可能给对方造成的损失，并应当在合理期限内提供证明。</w:t>
      </w:r>
    </w:p>
    <w:p w14:paraId="4E2994FF">
      <w:pPr>
        <w:keepNext w:val="0"/>
        <w:keepLines w:val="0"/>
        <w:widowControl/>
        <w:suppressLineNumbers w:val="0"/>
        <w:spacing w:before="0" w:beforeAutospacing="0" w:after="0" w:afterAutospacing="0" w:line="360" w:lineRule="auto"/>
        <w:ind w:left="0" w:right="0"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十、合同的变更</w:t>
      </w:r>
    </w:p>
    <w:p w14:paraId="5183C058">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本合同一经签订，合同双方均不得擅自变更或终止合同，除非合同的继续履行将损害国家利益和社会公共利益。</w:t>
      </w:r>
    </w:p>
    <w:p w14:paraId="71787191">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val="en-US" w:eastAsia="zh-CN" w:bidi="ar"/>
        </w:rPr>
        <w:t>如需修改或补充合同内容，应经甲乙双方协商，签署书面修改或补充协议并报相关主管部门备案同意。该协议为本合同不可分割的一部分。</w:t>
      </w:r>
    </w:p>
    <w:p w14:paraId="0B236C82">
      <w:pPr>
        <w:keepNext w:val="0"/>
        <w:keepLines w:val="0"/>
        <w:widowControl/>
        <w:suppressLineNumbers w:val="0"/>
        <w:spacing w:before="0" w:beforeAutospacing="0" w:after="0" w:afterAutospacing="0" w:line="360" w:lineRule="auto"/>
        <w:ind w:left="0" w:right="0"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十一、合同的转让</w:t>
      </w:r>
    </w:p>
    <w:p w14:paraId="33FA178E">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未经甲方书面同意，乙方不得将其合同项下的权利义务部分或全部转让给第三方。</w:t>
      </w:r>
    </w:p>
    <w:p w14:paraId="71AF2893">
      <w:pPr>
        <w:keepNext w:val="0"/>
        <w:keepLines w:val="0"/>
        <w:widowControl/>
        <w:suppressLineNumbers w:val="0"/>
        <w:spacing w:before="0" w:beforeAutospacing="0" w:after="0" w:afterAutospacing="0" w:line="360" w:lineRule="auto"/>
        <w:ind w:left="0" w:right="0"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十二、争议解决方式</w:t>
      </w:r>
    </w:p>
    <w:p w14:paraId="15E4366F">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因履行本合同引起的或与本合同有关的争议，甲、乙双方应首先通过友好协商解决，如果协商不能解决争议，则采取以下第</w:t>
      </w:r>
      <w:r>
        <w:rPr>
          <w:rFonts w:hint="eastAsia" w:ascii="宋体" w:hAnsi="宋体" w:eastAsia="宋体" w:cs="宋体"/>
          <w:color w:val="auto"/>
          <w:kern w:val="0"/>
          <w:sz w:val="24"/>
          <w:szCs w:val="24"/>
          <w:highlight w:val="none"/>
          <w:u w:val="single"/>
          <w:lang w:val="en-US" w:eastAsia="zh-CN" w:bidi="ar"/>
        </w:rPr>
        <w:t xml:space="preserve">    1     </w:t>
      </w:r>
      <w:r>
        <w:rPr>
          <w:rFonts w:hint="eastAsia" w:ascii="宋体" w:hAnsi="宋体" w:eastAsia="宋体" w:cs="宋体"/>
          <w:color w:val="auto"/>
          <w:kern w:val="0"/>
          <w:sz w:val="24"/>
          <w:szCs w:val="24"/>
          <w:highlight w:val="none"/>
          <w:lang w:val="en-US" w:eastAsia="zh-CN" w:bidi="ar"/>
        </w:rPr>
        <w:t>种方式解决争议：</w:t>
      </w:r>
    </w:p>
    <w:p w14:paraId="50FA4BDD">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向甲方所在地有管辖权的人民法院提起诉讼；</w:t>
      </w:r>
    </w:p>
    <w:p w14:paraId="16D20A41">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val="en-US" w:eastAsia="zh-CN" w:bidi="ar"/>
        </w:rPr>
        <w:t>向</w:t>
      </w:r>
      <w:r>
        <w:rPr>
          <w:rFonts w:hint="eastAsia" w:ascii="宋体" w:hAnsi="宋体" w:eastAsia="宋体" w:cs="宋体"/>
          <w:color w:val="auto"/>
          <w:kern w:val="0"/>
          <w:sz w:val="24"/>
          <w:szCs w:val="24"/>
          <w:highlight w:val="none"/>
          <w:u w:val="single"/>
          <w:lang w:val="en-US" w:eastAsia="zh-CN" w:bidi="ar"/>
        </w:rPr>
        <w:t xml:space="preserve">   /     </w:t>
      </w:r>
      <w:r>
        <w:rPr>
          <w:rFonts w:hint="eastAsia" w:ascii="宋体" w:hAnsi="宋体" w:eastAsia="宋体" w:cs="宋体"/>
          <w:color w:val="auto"/>
          <w:kern w:val="0"/>
          <w:sz w:val="24"/>
          <w:szCs w:val="24"/>
          <w:highlight w:val="none"/>
          <w:lang w:val="en-US" w:eastAsia="zh-CN" w:bidi="ar"/>
        </w:rPr>
        <w:t>仲裁委员会申请仲裁。</w:t>
      </w:r>
    </w:p>
    <w:p w14:paraId="72A5ADC1">
      <w:pPr>
        <w:keepNext w:val="0"/>
        <w:keepLines w:val="0"/>
        <w:widowControl/>
        <w:suppressLineNumbers w:val="0"/>
        <w:spacing w:before="0" w:beforeAutospacing="0" w:after="0" w:afterAutospacing="0" w:line="360" w:lineRule="auto"/>
        <w:ind w:left="0" w:right="0" w:firstLine="482"/>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十三、合同生效及其他</w:t>
      </w:r>
    </w:p>
    <w:p w14:paraId="66C7B749">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本合同在甲乙双方签字盖章后生效。</w:t>
      </w:r>
    </w:p>
    <w:p w14:paraId="6868DA94">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val="en-US" w:eastAsia="zh-CN" w:bidi="ar"/>
        </w:rPr>
        <w:t>合同在执行过程中出现的未尽事宜，双方在不违背本合同和招标文件的原则下协商解决，协商结果以书面形式盖章记录在案，作为本合同的附件，与本合同具有同等效力。</w:t>
      </w:r>
    </w:p>
    <w:p w14:paraId="460E90BB">
      <w:pPr>
        <w:keepNext w:val="0"/>
        <w:keepLines w:val="0"/>
        <w:widowControl/>
        <w:suppressLineNumbers w:val="0"/>
        <w:spacing w:before="0" w:beforeAutospacing="0" w:after="0" w:afterAutospacing="0" w:line="360" w:lineRule="auto"/>
        <w:ind w:left="0" w:right="0"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十四、其他</w:t>
      </w:r>
    </w:p>
    <w:p w14:paraId="418E0537">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甲、乙双方按协议条款履行完各自的义务后， 此协议自动终止。</w:t>
      </w:r>
    </w:p>
    <w:p w14:paraId="06E56FCB">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val="en-US" w:eastAsia="zh-CN" w:bidi="ar"/>
        </w:rPr>
        <w:t>本合同由甲乙双方签字、盖章，并经采购代理机构见证后生效，合同一式五份，甲方两份，乙方两份，采购代理机构一份。</w:t>
      </w:r>
    </w:p>
    <w:p w14:paraId="3279E5D4">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合同附件：考核标准、开标一览表、明细报价表。</w:t>
      </w:r>
    </w:p>
    <w:p w14:paraId="2E2AB8FF">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bCs/>
          <w:color w:val="auto"/>
          <w:sz w:val="24"/>
          <w:szCs w:val="24"/>
          <w:highlight w:val="none"/>
          <w:u w:val="single"/>
        </w:rPr>
      </w:pPr>
      <w:r>
        <w:rPr>
          <w:rFonts w:hint="eastAsia" w:ascii="宋体" w:hAnsi="宋体" w:eastAsia="宋体" w:cs="宋体"/>
          <w:bCs/>
          <w:color w:val="auto"/>
          <w:kern w:val="0"/>
          <w:sz w:val="24"/>
          <w:szCs w:val="24"/>
          <w:highlight w:val="none"/>
          <w:lang w:val="en-US" w:eastAsia="zh-CN" w:bidi="ar"/>
        </w:rPr>
        <w:t>甲方（采购人）：</w:t>
      </w:r>
      <w:r>
        <w:rPr>
          <w:rFonts w:hint="eastAsia" w:ascii="宋体" w:hAnsi="宋体" w:eastAsia="宋体" w:cs="宋体"/>
          <w:bCs/>
          <w:color w:val="auto"/>
          <w:kern w:val="0"/>
          <w:sz w:val="24"/>
          <w:szCs w:val="24"/>
          <w:highlight w:val="none"/>
          <w:u w:val="single"/>
          <w:lang w:val="en-US" w:eastAsia="zh-CN" w:bidi="ar"/>
        </w:rPr>
        <w:t xml:space="preserve">            </w:t>
      </w:r>
      <w:r>
        <w:rPr>
          <w:rFonts w:hint="eastAsia" w:ascii="宋体" w:hAnsi="宋体" w:eastAsia="宋体" w:cs="宋体"/>
          <w:bCs/>
          <w:color w:val="auto"/>
          <w:kern w:val="0"/>
          <w:sz w:val="24"/>
          <w:szCs w:val="24"/>
          <w:highlight w:val="none"/>
          <w:lang w:val="en-US" w:eastAsia="zh-CN" w:bidi="ar"/>
        </w:rPr>
        <w:t>（盖章）    乙方（成交方）：</w:t>
      </w:r>
      <w:r>
        <w:rPr>
          <w:rFonts w:hint="eastAsia" w:ascii="宋体" w:hAnsi="宋体" w:eastAsia="宋体" w:cs="宋体"/>
          <w:bCs/>
          <w:color w:val="auto"/>
          <w:kern w:val="0"/>
          <w:sz w:val="24"/>
          <w:szCs w:val="24"/>
          <w:highlight w:val="none"/>
          <w:u w:val="single"/>
          <w:lang w:val="en-US" w:eastAsia="zh-CN" w:bidi="ar"/>
        </w:rPr>
        <w:t xml:space="preserve">        </w:t>
      </w:r>
      <w:r>
        <w:rPr>
          <w:rFonts w:hint="eastAsia" w:ascii="宋体" w:hAnsi="宋体" w:eastAsia="宋体" w:cs="宋体"/>
          <w:bCs/>
          <w:color w:val="auto"/>
          <w:kern w:val="0"/>
          <w:sz w:val="24"/>
          <w:szCs w:val="24"/>
          <w:highlight w:val="none"/>
          <w:lang w:val="en-US" w:eastAsia="zh-CN" w:bidi="ar"/>
        </w:rPr>
        <w:t>（盖章）</w:t>
      </w:r>
    </w:p>
    <w:p w14:paraId="46BE9BD2">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bCs/>
          <w:color w:val="auto"/>
          <w:sz w:val="24"/>
          <w:szCs w:val="24"/>
          <w:highlight w:val="none"/>
          <w:u w:val="single"/>
        </w:rPr>
      </w:pPr>
      <w:r>
        <w:rPr>
          <w:rFonts w:hint="eastAsia" w:ascii="宋体" w:hAnsi="宋体" w:eastAsia="宋体" w:cs="宋体"/>
          <w:bCs/>
          <w:color w:val="auto"/>
          <w:kern w:val="0"/>
          <w:sz w:val="24"/>
          <w:szCs w:val="24"/>
          <w:highlight w:val="none"/>
          <w:lang w:val="en-US" w:eastAsia="zh-CN" w:bidi="ar"/>
        </w:rPr>
        <w:t>法定（授权）代表人：</w:t>
      </w:r>
      <w:r>
        <w:rPr>
          <w:rFonts w:hint="eastAsia" w:ascii="宋体" w:hAnsi="宋体" w:eastAsia="宋体" w:cs="宋体"/>
          <w:bCs/>
          <w:color w:val="auto"/>
          <w:kern w:val="0"/>
          <w:sz w:val="24"/>
          <w:szCs w:val="24"/>
          <w:highlight w:val="none"/>
          <w:u w:val="single"/>
          <w:lang w:val="en-US" w:eastAsia="zh-CN" w:bidi="ar"/>
        </w:rPr>
        <w:t xml:space="preserve">             </w:t>
      </w:r>
      <w:r>
        <w:rPr>
          <w:rFonts w:hint="eastAsia" w:ascii="宋体" w:hAnsi="宋体" w:eastAsia="宋体" w:cs="宋体"/>
          <w:bCs/>
          <w:color w:val="auto"/>
          <w:kern w:val="0"/>
          <w:sz w:val="24"/>
          <w:szCs w:val="24"/>
          <w:highlight w:val="none"/>
          <w:lang w:val="en-US" w:eastAsia="zh-CN" w:bidi="ar"/>
        </w:rPr>
        <w:t xml:space="preserve">       法定（授权）代表人：</w:t>
      </w:r>
      <w:r>
        <w:rPr>
          <w:rFonts w:hint="eastAsia" w:ascii="宋体" w:hAnsi="宋体" w:eastAsia="宋体" w:cs="宋体"/>
          <w:bCs/>
          <w:color w:val="auto"/>
          <w:kern w:val="0"/>
          <w:sz w:val="24"/>
          <w:szCs w:val="24"/>
          <w:highlight w:val="none"/>
          <w:u w:val="single"/>
          <w:lang w:val="en-US" w:eastAsia="zh-CN" w:bidi="ar"/>
        </w:rPr>
        <w:t xml:space="preserve">                </w:t>
      </w:r>
    </w:p>
    <w:p w14:paraId="4B54371B">
      <w:pPr>
        <w:keepNext w:val="0"/>
        <w:keepLines w:val="0"/>
        <w:widowControl w:val="0"/>
        <w:suppressLineNumbers w:val="0"/>
        <w:spacing w:before="0" w:beforeAutospacing="0" w:after="0" w:afterAutospacing="0" w:line="440" w:lineRule="exact"/>
        <w:ind w:left="0" w:right="0" w:firstLine="1440"/>
        <w:jc w:val="both"/>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u w:val="single"/>
          <w:lang w:val="en-US" w:eastAsia="zh-CN" w:bidi="ar"/>
        </w:rPr>
        <w:t xml:space="preserve">     </w:t>
      </w:r>
      <w:r>
        <w:rPr>
          <w:rFonts w:hint="eastAsia" w:ascii="宋体" w:hAnsi="宋体" w:eastAsia="宋体" w:cs="宋体"/>
          <w:bCs/>
          <w:color w:val="auto"/>
          <w:kern w:val="0"/>
          <w:sz w:val="24"/>
          <w:szCs w:val="24"/>
          <w:highlight w:val="none"/>
          <w:lang w:val="en-US" w:eastAsia="zh-CN" w:bidi="ar"/>
        </w:rPr>
        <w:t>年</w:t>
      </w:r>
      <w:r>
        <w:rPr>
          <w:rFonts w:hint="eastAsia" w:ascii="宋体" w:hAnsi="宋体" w:eastAsia="宋体" w:cs="宋体"/>
          <w:bCs/>
          <w:color w:val="auto"/>
          <w:kern w:val="0"/>
          <w:sz w:val="24"/>
          <w:szCs w:val="24"/>
          <w:highlight w:val="none"/>
          <w:u w:val="single"/>
          <w:lang w:val="en-US" w:eastAsia="zh-CN" w:bidi="ar"/>
        </w:rPr>
        <w:t xml:space="preserve">     </w:t>
      </w:r>
      <w:r>
        <w:rPr>
          <w:rFonts w:hint="eastAsia" w:ascii="宋体" w:hAnsi="宋体" w:eastAsia="宋体" w:cs="宋体"/>
          <w:bCs/>
          <w:color w:val="auto"/>
          <w:kern w:val="0"/>
          <w:sz w:val="24"/>
          <w:szCs w:val="24"/>
          <w:highlight w:val="none"/>
          <w:lang w:val="en-US" w:eastAsia="zh-CN" w:bidi="ar"/>
        </w:rPr>
        <w:t>月</w:t>
      </w:r>
      <w:r>
        <w:rPr>
          <w:rFonts w:hint="eastAsia" w:ascii="宋体" w:hAnsi="宋体" w:eastAsia="宋体" w:cs="宋体"/>
          <w:bCs/>
          <w:color w:val="auto"/>
          <w:kern w:val="0"/>
          <w:sz w:val="24"/>
          <w:szCs w:val="24"/>
          <w:highlight w:val="none"/>
          <w:u w:val="single"/>
          <w:lang w:val="en-US" w:eastAsia="zh-CN" w:bidi="ar"/>
        </w:rPr>
        <w:t xml:space="preserve">      </w:t>
      </w:r>
      <w:r>
        <w:rPr>
          <w:rFonts w:hint="eastAsia" w:ascii="宋体" w:hAnsi="宋体" w:eastAsia="宋体" w:cs="宋体"/>
          <w:bCs/>
          <w:color w:val="auto"/>
          <w:kern w:val="0"/>
          <w:sz w:val="24"/>
          <w:szCs w:val="24"/>
          <w:highlight w:val="none"/>
          <w:lang w:val="en-US" w:eastAsia="zh-CN" w:bidi="ar"/>
        </w:rPr>
        <w:t xml:space="preserve">日               </w:t>
      </w:r>
      <w:r>
        <w:rPr>
          <w:rFonts w:hint="eastAsia" w:ascii="宋体" w:hAnsi="宋体" w:eastAsia="宋体" w:cs="宋体"/>
          <w:bCs/>
          <w:color w:val="auto"/>
          <w:kern w:val="0"/>
          <w:sz w:val="24"/>
          <w:szCs w:val="24"/>
          <w:highlight w:val="none"/>
          <w:u w:val="single"/>
          <w:lang w:val="en-US" w:eastAsia="zh-CN" w:bidi="ar"/>
        </w:rPr>
        <w:t xml:space="preserve">     </w:t>
      </w:r>
      <w:r>
        <w:rPr>
          <w:rFonts w:hint="eastAsia" w:ascii="宋体" w:hAnsi="宋体" w:eastAsia="宋体" w:cs="宋体"/>
          <w:bCs/>
          <w:color w:val="auto"/>
          <w:kern w:val="0"/>
          <w:sz w:val="24"/>
          <w:szCs w:val="24"/>
          <w:highlight w:val="none"/>
          <w:lang w:val="en-US" w:eastAsia="zh-CN" w:bidi="ar"/>
        </w:rPr>
        <w:t>年</w:t>
      </w:r>
      <w:r>
        <w:rPr>
          <w:rFonts w:hint="eastAsia" w:ascii="宋体" w:hAnsi="宋体" w:eastAsia="宋体" w:cs="宋体"/>
          <w:bCs/>
          <w:color w:val="auto"/>
          <w:kern w:val="0"/>
          <w:sz w:val="24"/>
          <w:szCs w:val="24"/>
          <w:highlight w:val="none"/>
          <w:u w:val="single"/>
          <w:lang w:val="en-US" w:eastAsia="zh-CN" w:bidi="ar"/>
        </w:rPr>
        <w:t xml:space="preserve">     </w:t>
      </w:r>
      <w:r>
        <w:rPr>
          <w:rFonts w:hint="eastAsia" w:ascii="宋体" w:hAnsi="宋体" w:eastAsia="宋体" w:cs="宋体"/>
          <w:bCs/>
          <w:color w:val="auto"/>
          <w:kern w:val="0"/>
          <w:sz w:val="24"/>
          <w:szCs w:val="24"/>
          <w:highlight w:val="none"/>
          <w:lang w:val="en-US" w:eastAsia="zh-CN" w:bidi="ar"/>
        </w:rPr>
        <w:t>月</w:t>
      </w:r>
      <w:r>
        <w:rPr>
          <w:rFonts w:hint="eastAsia" w:ascii="宋体" w:hAnsi="宋体" w:eastAsia="宋体" w:cs="宋体"/>
          <w:bCs/>
          <w:color w:val="auto"/>
          <w:kern w:val="0"/>
          <w:sz w:val="24"/>
          <w:szCs w:val="24"/>
          <w:highlight w:val="none"/>
          <w:u w:val="single"/>
          <w:lang w:val="en-US" w:eastAsia="zh-CN" w:bidi="ar"/>
        </w:rPr>
        <w:t xml:space="preserve">     </w:t>
      </w:r>
      <w:r>
        <w:rPr>
          <w:rFonts w:hint="eastAsia" w:ascii="宋体" w:hAnsi="宋体" w:eastAsia="宋体" w:cs="宋体"/>
          <w:bCs/>
          <w:color w:val="auto"/>
          <w:kern w:val="0"/>
          <w:sz w:val="24"/>
          <w:szCs w:val="24"/>
          <w:highlight w:val="none"/>
          <w:lang w:val="en-US" w:eastAsia="zh-CN" w:bidi="ar"/>
        </w:rPr>
        <w:t>日</w:t>
      </w:r>
    </w:p>
    <w:p w14:paraId="21085087">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kern w:val="0"/>
          <w:sz w:val="24"/>
          <w:szCs w:val="24"/>
          <w:highlight w:val="none"/>
          <w:lang w:val="en-US" w:eastAsia="zh-CN" w:bidi="ar"/>
        </w:rPr>
        <w:br w:type="page"/>
      </w:r>
      <w:r>
        <w:rPr>
          <w:rFonts w:hint="eastAsia" w:ascii="宋体" w:hAnsi="宋体" w:eastAsia="宋体" w:cs="宋体"/>
          <w:color w:val="auto"/>
          <w:spacing w:val="0"/>
          <w:kern w:val="0"/>
          <w:sz w:val="24"/>
          <w:szCs w:val="24"/>
          <w:highlight w:val="none"/>
          <w:lang w:val="en-US" w:eastAsia="zh-CN" w:bidi="ar"/>
        </w:rPr>
        <w:t>附件一：考核标准</w:t>
      </w:r>
    </w:p>
    <w:p w14:paraId="453297F9">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488" w:firstLine="516"/>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1.考核标准一：</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61"/>
        <w:gridCol w:w="1138"/>
        <w:gridCol w:w="1352"/>
        <w:gridCol w:w="2910"/>
        <w:gridCol w:w="1905"/>
        <w:gridCol w:w="1155"/>
      </w:tblGrid>
      <w:tr w14:paraId="7A70A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99" w:hRule="atLeast"/>
          <w:jc w:val="center"/>
        </w:trPr>
        <w:tc>
          <w:tcPr>
            <w:tcW w:w="661" w:type="dxa"/>
            <w:tcBorders>
              <w:top w:val="single" w:color="auto" w:sz="4" w:space="0"/>
              <w:left w:val="single" w:color="auto" w:sz="4" w:space="0"/>
              <w:bottom w:val="single" w:color="auto" w:sz="4" w:space="0"/>
              <w:right w:val="single" w:color="auto" w:sz="4" w:space="0"/>
            </w:tcBorders>
            <w:shd w:val="clear" w:color="auto" w:fill="auto"/>
            <w:vAlign w:val="center"/>
          </w:tcPr>
          <w:p w14:paraId="2C92ED98">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188" w:beforeAutospacing="0" w:after="0" w:afterAutospacing="0" w:line="360" w:lineRule="auto"/>
              <w:ind w:left="0" w:right="486"/>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类别</w:t>
            </w:r>
          </w:p>
        </w:tc>
        <w:tc>
          <w:tcPr>
            <w:tcW w:w="1138" w:type="dxa"/>
            <w:tcBorders>
              <w:top w:val="single" w:color="auto" w:sz="4" w:space="0"/>
              <w:left w:val="single" w:color="auto" w:sz="4" w:space="0"/>
              <w:bottom w:val="single" w:color="auto" w:sz="4" w:space="0"/>
              <w:right w:val="single" w:color="auto" w:sz="4" w:space="0"/>
            </w:tcBorders>
            <w:shd w:val="clear" w:color="auto" w:fill="auto"/>
            <w:vAlign w:val="center"/>
          </w:tcPr>
          <w:p w14:paraId="4CB43904">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188" w:beforeAutospacing="0" w:after="0" w:afterAutospacing="0" w:line="360" w:lineRule="auto"/>
              <w:ind w:left="0" w:right="486"/>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项目</w:t>
            </w:r>
          </w:p>
        </w:tc>
        <w:tc>
          <w:tcPr>
            <w:tcW w:w="1352" w:type="dxa"/>
            <w:tcBorders>
              <w:top w:val="single" w:color="auto" w:sz="4" w:space="0"/>
              <w:left w:val="single" w:color="auto" w:sz="4" w:space="0"/>
              <w:bottom w:val="single" w:color="auto" w:sz="4" w:space="0"/>
              <w:right w:val="single" w:color="auto" w:sz="4" w:space="0"/>
            </w:tcBorders>
            <w:shd w:val="clear" w:color="auto" w:fill="auto"/>
            <w:vAlign w:val="center"/>
          </w:tcPr>
          <w:p w14:paraId="45C58EB2">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188" w:beforeAutospacing="0" w:after="0" w:afterAutospacing="0" w:line="360" w:lineRule="auto"/>
              <w:ind w:left="0" w:right="136"/>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目标</w:t>
            </w:r>
          </w:p>
        </w:tc>
        <w:tc>
          <w:tcPr>
            <w:tcW w:w="2910" w:type="dxa"/>
            <w:tcBorders>
              <w:top w:val="single" w:color="auto" w:sz="4" w:space="0"/>
              <w:left w:val="single" w:color="auto" w:sz="4" w:space="0"/>
              <w:bottom w:val="single" w:color="auto" w:sz="4" w:space="0"/>
              <w:right w:val="single" w:color="auto" w:sz="4" w:space="0"/>
            </w:tcBorders>
            <w:shd w:val="clear" w:color="auto" w:fill="auto"/>
            <w:vAlign w:val="center"/>
          </w:tcPr>
          <w:p w14:paraId="40E21593">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188" w:beforeAutospacing="0" w:after="0" w:afterAutospacing="0" w:line="360" w:lineRule="auto"/>
              <w:ind w:left="0" w:right="486"/>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KPI指标</w:t>
            </w:r>
          </w:p>
        </w:tc>
        <w:tc>
          <w:tcPr>
            <w:tcW w:w="1905" w:type="dxa"/>
            <w:tcBorders>
              <w:top w:val="single" w:color="auto" w:sz="4" w:space="0"/>
              <w:left w:val="single" w:color="auto" w:sz="4" w:space="0"/>
              <w:bottom w:val="single" w:color="auto" w:sz="4" w:space="0"/>
              <w:right w:val="single" w:color="auto" w:sz="4" w:space="0"/>
            </w:tcBorders>
            <w:shd w:val="clear" w:color="auto" w:fill="auto"/>
            <w:vAlign w:val="center"/>
          </w:tcPr>
          <w:p w14:paraId="7EF1A806">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188" w:beforeAutospacing="0" w:after="0" w:afterAutospacing="0" w:line="360" w:lineRule="auto"/>
              <w:ind w:left="0" w:right="486"/>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考核细则</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17080F11">
            <w:pPr>
              <w:pStyle w:val="35"/>
              <w:keepNext w:val="0"/>
              <w:keepLines w:val="0"/>
              <w:pageBreakBefore w:val="0"/>
              <w:widowControl w:val="0"/>
              <w:suppressLineNumbers w:val="0"/>
              <w:tabs>
                <w:tab w:val="left" w:pos="840"/>
                <w:tab w:val="left" w:pos="1060"/>
              </w:tabs>
              <w:kinsoku/>
              <w:wordWrap/>
              <w:overflowPunct/>
              <w:topLinePunct w:val="0"/>
              <w:autoSpaceDE w:val="0"/>
              <w:autoSpaceDN w:val="0"/>
              <w:bidi w:val="0"/>
              <w:adjustRightInd w:val="0"/>
              <w:snapToGrid w:val="0"/>
              <w:spacing w:before="188" w:beforeAutospacing="0" w:after="0" w:afterAutospacing="0" w:line="360" w:lineRule="auto"/>
              <w:ind w:left="0" w:right="99"/>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备注</w:t>
            </w:r>
          </w:p>
        </w:tc>
      </w:tr>
      <w:tr w14:paraId="06838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1" w:type="dxa"/>
            <w:vMerge w:val="restart"/>
            <w:tcBorders>
              <w:top w:val="nil"/>
              <w:left w:val="single" w:color="auto" w:sz="4" w:space="0"/>
              <w:bottom w:val="single" w:color="auto" w:sz="4" w:space="0"/>
              <w:right w:val="single" w:color="auto" w:sz="4" w:space="0"/>
            </w:tcBorders>
            <w:shd w:val="clear" w:color="auto" w:fill="auto"/>
            <w:vAlign w:val="center"/>
          </w:tcPr>
          <w:p w14:paraId="04FAB7F9">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188" w:beforeAutospacing="0" w:after="0" w:afterAutospacing="0" w:line="360" w:lineRule="auto"/>
              <w:ind w:left="0" w:right="486"/>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业务工作</w:t>
            </w:r>
          </w:p>
        </w:tc>
        <w:tc>
          <w:tcPr>
            <w:tcW w:w="1138" w:type="dxa"/>
            <w:vMerge w:val="restart"/>
            <w:tcBorders>
              <w:top w:val="nil"/>
              <w:left w:val="single" w:color="auto" w:sz="4" w:space="0"/>
              <w:bottom w:val="single" w:color="auto" w:sz="4" w:space="0"/>
              <w:right w:val="single" w:color="auto" w:sz="4" w:space="0"/>
            </w:tcBorders>
            <w:shd w:val="clear" w:color="auto" w:fill="auto"/>
            <w:vAlign w:val="center"/>
          </w:tcPr>
          <w:p w14:paraId="3611D9CB">
            <w:pPr>
              <w:pStyle w:val="35"/>
              <w:keepNext w:val="0"/>
              <w:keepLines w:val="0"/>
              <w:pageBreakBefore w:val="0"/>
              <w:widowControl w:val="0"/>
              <w:suppressLineNumbers w:val="0"/>
              <w:tabs>
                <w:tab w:val="left" w:pos="1060"/>
              </w:tabs>
              <w:kinsoku/>
              <w:wordWrap/>
              <w:overflowPunct/>
              <w:topLinePunct w:val="0"/>
              <w:autoSpaceDE w:val="0"/>
              <w:autoSpaceDN w:val="0"/>
              <w:bidi w:val="0"/>
              <w:adjustRightInd w:val="0"/>
              <w:snapToGrid w:val="0"/>
              <w:spacing w:before="188" w:beforeAutospacing="0" w:after="0" w:afterAutospacing="0" w:line="360" w:lineRule="auto"/>
              <w:ind w:left="0" w:right="-38"/>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特种设备安全服务</w:t>
            </w:r>
          </w:p>
        </w:tc>
        <w:tc>
          <w:tcPr>
            <w:tcW w:w="1352" w:type="dxa"/>
            <w:tcBorders>
              <w:top w:val="single" w:color="auto" w:sz="4" w:space="0"/>
              <w:left w:val="single" w:color="auto" w:sz="4" w:space="0"/>
              <w:bottom w:val="single" w:color="auto" w:sz="4" w:space="0"/>
              <w:right w:val="single" w:color="auto" w:sz="4" w:space="0"/>
            </w:tcBorders>
            <w:shd w:val="clear" w:color="auto" w:fill="auto"/>
            <w:vAlign w:val="center"/>
          </w:tcPr>
          <w:p w14:paraId="7F1939F7">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辖区全覆盖</w:t>
            </w:r>
          </w:p>
          <w:p w14:paraId="4C5EE4DA">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（20分）</w:t>
            </w:r>
          </w:p>
        </w:tc>
        <w:tc>
          <w:tcPr>
            <w:tcW w:w="2910" w:type="dxa"/>
            <w:tcBorders>
              <w:top w:val="single" w:color="auto" w:sz="4" w:space="0"/>
              <w:left w:val="single" w:color="auto" w:sz="4" w:space="0"/>
              <w:bottom w:val="single" w:color="auto" w:sz="4" w:space="0"/>
              <w:right w:val="single" w:color="auto" w:sz="4" w:space="0"/>
            </w:tcBorders>
            <w:shd w:val="clear" w:color="auto" w:fill="auto"/>
            <w:vAlign w:val="center"/>
          </w:tcPr>
          <w:p w14:paraId="6E2B107E">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掌握辖区内的特种设备使用单位及设备的数量、使用状况；现场指导特种设备使用单位落实企业主体责任。</w:t>
            </w:r>
          </w:p>
        </w:tc>
        <w:tc>
          <w:tcPr>
            <w:tcW w:w="1905" w:type="dxa"/>
            <w:tcBorders>
              <w:top w:val="single" w:color="auto" w:sz="4" w:space="0"/>
              <w:left w:val="single" w:color="auto" w:sz="4" w:space="0"/>
              <w:bottom w:val="single" w:color="auto" w:sz="4" w:space="0"/>
              <w:right w:val="single" w:color="auto" w:sz="4" w:space="0"/>
            </w:tcBorders>
            <w:shd w:val="clear" w:color="auto" w:fill="auto"/>
            <w:vAlign w:val="center"/>
          </w:tcPr>
          <w:p w14:paraId="4E089CE1">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涉及单位每少一家扣除0.2分</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1ABE72BC">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188" w:beforeAutospacing="0" w:after="0" w:afterAutospacing="0" w:line="360" w:lineRule="auto"/>
              <w:ind w:left="0" w:right="486"/>
              <w:jc w:val="center"/>
              <w:textAlignment w:val="auto"/>
              <w:rPr>
                <w:rFonts w:hint="eastAsia" w:ascii="宋体" w:hAnsi="宋体" w:eastAsia="宋体" w:cs="宋体"/>
                <w:color w:val="auto"/>
                <w:spacing w:val="0"/>
                <w:sz w:val="24"/>
                <w:szCs w:val="24"/>
                <w:highlight w:val="none"/>
              </w:rPr>
            </w:pPr>
          </w:p>
        </w:tc>
      </w:tr>
      <w:tr w14:paraId="5C294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vMerge w:val="continue"/>
            <w:tcBorders>
              <w:top w:val="nil"/>
              <w:left w:val="single" w:color="auto" w:sz="4" w:space="0"/>
              <w:bottom w:val="single" w:color="auto" w:sz="4" w:space="0"/>
              <w:right w:val="single" w:color="auto" w:sz="4" w:space="0"/>
            </w:tcBorders>
            <w:shd w:val="clear" w:color="auto" w:fill="auto"/>
            <w:vAlign w:val="center"/>
          </w:tcPr>
          <w:p w14:paraId="7D51EC85">
            <w:pPr>
              <w:keepNext w:val="0"/>
              <w:keepLines w:val="0"/>
              <w:pageBreakBefore w:val="0"/>
              <w:suppressLineNumbers w:val="0"/>
              <w:kinsoku/>
              <w:wordWrap/>
              <w:overflowPunct/>
              <w:topLinePunct w:val="0"/>
              <w:bidi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p>
        </w:tc>
        <w:tc>
          <w:tcPr>
            <w:tcW w:w="1138" w:type="dxa"/>
            <w:vMerge w:val="continue"/>
            <w:tcBorders>
              <w:top w:val="nil"/>
              <w:left w:val="single" w:color="auto" w:sz="4" w:space="0"/>
              <w:bottom w:val="single" w:color="auto" w:sz="4" w:space="0"/>
              <w:right w:val="single" w:color="auto" w:sz="4" w:space="0"/>
            </w:tcBorders>
            <w:shd w:val="clear" w:color="auto" w:fill="auto"/>
            <w:vAlign w:val="center"/>
          </w:tcPr>
          <w:p w14:paraId="071CC60B">
            <w:pPr>
              <w:keepNext w:val="0"/>
              <w:keepLines w:val="0"/>
              <w:pageBreakBefore w:val="0"/>
              <w:suppressLineNumbers w:val="0"/>
              <w:kinsoku/>
              <w:wordWrap/>
              <w:overflowPunct/>
              <w:topLinePunct w:val="0"/>
              <w:bidi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p>
        </w:tc>
        <w:tc>
          <w:tcPr>
            <w:tcW w:w="1352" w:type="dxa"/>
            <w:tcBorders>
              <w:top w:val="single" w:color="auto" w:sz="4" w:space="0"/>
              <w:left w:val="single" w:color="auto" w:sz="4" w:space="0"/>
              <w:bottom w:val="single" w:color="auto" w:sz="4" w:space="0"/>
              <w:right w:val="single" w:color="auto" w:sz="4" w:space="0"/>
            </w:tcBorders>
            <w:shd w:val="clear" w:color="auto" w:fill="auto"/>
            <w:vAlign w:val="center"/>
          </w:tcPr>
          <w:p w14:paraId="5F077C23">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常规风险排查</w:t>
            </w:r>
          </w:p>
          <w:p w14:paraId="49DA4A09">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（30分）</w:t>
            </w:r>
          </w:p>
        </w:tc>
        <w:tc>
          <w:tcPr>
            <w:tcW w:w="2910" w:type="dxa"/>
            <w:tcBorders>
              <w:top w:val="single" w:color="auto" w:sz="4" w:space="0"/>
              <w:left w:val="single" w:color="auto" w:sz="4" w:space="0"/>
              <w:bottom w:val="single" w:color="auto" w:sz="4" w:space="0"/>
              <w:right w:val="single" w:color="auto" w:sz="4" w:space="0"/>
            </w:tcBorders>
            <w:shd w:val="clear" w:color="auto" w:fill="auto"/>
            <w:vAlign w:val="center"/>
          </w:tcPr>
          <w:p w14:paraId="085BFF32">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对表单涉及单位的现场情况、资料文件按照法律法规，安全技术规范的要求进行有效性、一致性确认，摸排台账经梳理汇总后，报送监管部门。</w:t>
            </w:r>
          </w:p>
        </w:tc>
        <w:tc>
          <w:tcPr>
            <w:tcW w:w="1905" w:type="dxa"/>
            <w:tcBorders>
              <w:top w:val="single" w:color="auto" w:sz="4" w:space="0"/>
              <w:left w:val="single" w:color="auto" w:sz="4" w:space="0"/>
              <w:bottom w:val="single" w:color="auto" w:sz="4" w:space="0"/>
              <w:right w:val="single" w:color="auto" w:sz="4" w:space="0"/>
            </w:tcBorders>
            <w:shd w:val="clear" w:color="auto" w:fill="auto"/>
            <w:vAlign w:val="center"/>
          </w:tcPr>
          <w:p w14:paraId="34BE9AED">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每一项闭环，有不完整项扣除0.2分</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0A5068A0">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188" w:beforeAutospacing="0" w:after="0" w:afterAutospacing="0" w:line="360" w:lineRule="auto"/>
              <w:ind w:left="0" w:right="486"/>
              <w:jc w:val="center"/>
              <w:textAlignment w:val="auto"/>
              <w:rPr>
                <w:rFonts w:hint="eastAsia" w:ascii="宋体" w:hAnsi="宋体" w:eastAsia="宋体" w:cs="宋体"/>
                <w:color w:val="auto"/>
                <w:spacing w:val="0"/>
                <w:sz w:val="24"/>
                <w:szCs w:val="24"/>
                <w:highlight w:val="none"/>
              </w:rPr>
            </w:pPr>
          </w:p>
        </w:tc>
      </w:tr>
      <w:tr w14:paraId="1DA4E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vMerge w:val="continue"/>
            <w:tcBorders>
              <w:top w:val="nil"/>
              <w:left w:val="single" w:color="auto" w:sz="4" w:space="0"/>
              <w:bottom w:val="single" w:color="auto" w:sz="4" w:space="0"/>
              <w:right w:val="single" w:color="auto" w:sz="4" w:space="0"/>
            </w:tcBorders>
            <w:shd w:val="clear" w:color="auto" w:fill="auto"/>
            <w:vAlign w:val="center"/>
          </w:tcPr>
          <w:p w14:paraId="7AC54742">
            <w:pPr>
              <w:keepNext w:val="0"/>
              <w:keepLines w:val="0"/>
              <w:pageBreakBefore w:val="0"/>
              <w:suppressLineNumbers w:val="0"/>
              <w:kinsoku/>
              <w:wordWrap/>
              <w:overflowPunct/>
              <w:topLinePunct w:val="0"/>
              <w:bidi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p>
        </w:tc>
        <w:tc>
          <w:tcPr>
            <w:tcW w:w="1138" w:type="dxa"/>
            <w:vMerge w:val="continue"/>
            <w:tcBorders>
              <w:top w:val="nil"/>
              <w:left w:val="single" w:color="auto" w:sz="4" w:space="0"/>
              <w:bottom w:val="single" w:color="auto" w:sz="4" w:space="0"/>
              <w:right w:val="single" w:color="auto" w:sz="4" w:space="0"/>
            </w:tcBorders>
            <w:shd w:val="clear" w:color="auto" w:fill="auto"/>
            <w:vAlign w:val="center"/>
          </w:tcPr>
          <w:p w14:paraId="7322DF35">
            <w:pPr>
              <w:keepNext w:val="0"/>
              <w:keepLines w:val="0"/>
              <w:pageBreakBefore w:val="0"/>
              <w:suppressLineNumbers w:val="0"/>
              <w:kinsoku/>
              <w:wordWrap/>
              <w:overflowPunct/>
              <w:topLinePunct w:val="0"/>
              <w:bidi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p>
        </w:tc>
        <w:tc>
          <w:tcPr>
            <w:tcW w:w="1352" w:type="dxa"/>
            <w:tcBorders>
              <w:top w:val="single" w:color="auto" w:sz="4" w:space="0"/>
              <w:left w:val="single" w:color="auto" w:sz="4" w:space="0"/>
              <w:bottom w:val="single" w:color="auto" w:sz="4" w:space="0"/>
              <w:right w:val="single" w:color="auto" w:sz="4" w:space="0"/>
            </w:tcBorders>
            <w:shd w:val="clear" w:color="auto" w:fill="auto"/>
            <w:vAlign w:val="center"/>
          </w:tcPr>
          <w:p w14:paraId="0CE4BD54">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专项整治工作</w:t>
            </w:r>
          </w:p>
          <w:p w14:paraId="21C735E9">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（35分）</w:t>
            </w:r>
          </w:p>
        </w:tc>
        <w:tc>
          <w:tcPr>
            <w:tcW w:w="2910" w:type="dxa"/>
            <w:tcBorders>
              <w:top w:val="single" w:color="auto" w:sz="4" w:space="0"/>
              <w:left w:val="single" w:color="auto" w:sz="4" w:space="0"/>
              <w:bottom w:val="single" w:color="auto" w:sz="4" w:space="0"/>
              <w:right w:val="single" w:color="auto" w:sz="4" w:space="0"/>
            </w:tcBorders>
            <w:shd w:val="clear" w:color="auto" w:fill="auto"/>
            <w:vAlign w:val="center"/>
          </w:tcPr>
          <w:p w14:paraId="6EDEB9F2">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根据专项整治任务完成各项工作</w:t>
            </w:r>
          </w:p>
        </w:tc>
        <w:tc>
          <w:tcPr>
            <w:tcW w:w="1905" w:type="dxa"/>
            <w:tcBorders>
              <w:top w:val="single" w:color="auto" w:sz="4" w:space="0"/>
              <w:left w:val="single" w:color="auto" w:sz="4" w:space="0"/>
              <w:bottom w:val="single" w:color="auto" w:sz="4" w:space="0"/>
              <w:right w:val="single" w:color="auto" w:sz="4" w:space="0"/>
            </w:tcBorders>
            <w:shd w:val="clear" w:color="auto" w:fill="auto"/>
            <w:vAlign w:val="center"/>
          </w:tcPr>
          <w:p w14:paraId="3171AD99">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未完成扣除0.5分</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07A0904B">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188" w:beforeAutospacing="0" w:after="0" w:afterAutospacing="0" w:line="360" w:lineRule="auto"/>
              <w:ind w:left="0" w:right="486"/>
              <w:jc w:val="center"/>
              <w:textAlignment w:val="auto"/>
              <w:rPr>
                <w:rFonts w:hint="eastAsia" w:ascii="宋体" w:hAnsi="宋体" w:eastAsia="宋体" w:cs="宋体"/>
                <w:color w:val="auto"/>
                <w:spacing w:val="0"/>
                <w:sz w:val="24"/>
                <w:szCs w:val="24"/>
                <w:highlight w:val="none"/>
              </w:rPr>
            </w:pPr>
          </w:p>
        </w:tc>
      </w:tr>
      <w:tr w14:paraId="7F029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vMerge w:val="continue"/>
            <w:tcBorders>
              <w:top w:val="nil"/>
              <w:left w:val="single" w:color="auto" w:sz="4" w:space="0"/>
              <w:bottom w:val="single" w:color="auto" w:sz="4" w:space="0"/>
              <w:right w:val="single" w:color="auto" w:sz="4" w:space="0"/>
            </w:tcBorders>
            <w:shd w:val="clear" w:color="auto" w:fill="auto"/>
            <w:vAlign w:val="center"/>
          </w:tcPr>
          <w:p w14:paraId="65FBA6E2">
            <w:pPr>
              <w:keepNext w:val="0"/>
              <w:keepLines w:val="0"/>
              <w:pageBreakBefore w:val="0"/>
              <w:suppressLineNumbers w:val="0"/>
              <w:kinsoku/>
              <w:wordWrap/>
              <w:overflowPunct/>
              <w:topLinePunct w:val="0"/>
              <w:bidi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p>
        </w:tc>
        <w:tc>
          <w:tcPr>
            <w:tcW w:w="1138" w:type="dxa"/>
            <w:vMerge w:val="continue"/>
            <w:tcBorders>
              <w:top w:val="nil"/>
              <w:left w:val="single" w:color="auto" w:sz="4" w:space="0"/>
              <w:bottom w:val="single" w:color="auto" w:sz="4" w:space="0"/>
              <w:right w:val="single" w:color="auto" w:sz="4" w:space="0"/>
            </w:tcBorders>
            <w:shd w:val="clear" w:color="auto" w:fill="auto"/>
            <w:vAlign w:val="center"/>
          </w:tcPr>
          <w:p w14:paraId="2DBC9D13">
            <w:pPr>
              <w:keepNext w:val="0"/>
              <w:keepLines w:val="0"/>
              <w:pageBreakBefore w:val="0"/>
              <w:suppressLineNumbers w:val="0"/>
              <w:kinsoku/>
              <w:wordWrap/>
              <w:overflowPunct/>
              <w:topLinePunct w:val="0"/>
              <w:bidi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p>
        </w:tc>
        <w:tc>
          <w:tcPr>
            <w:tcW w:w="1352" w:type="dxa"/>
            <w:tcBorders>
              <w:top w:val="single" w:color="auto" w:sz="4" w:space="0"/>
              <w:left w:val="single" w:color="auto" w:sz="4" w:space="0"/>
              <w:bottom w:val="single" w:color="auto" w:sz="4" w:space="0"/>
              <w:right w:val="single" w:color="auto" w:sz="4" w:space="0"/>
            </w:tcBorders>
            <w:shd w:val="clear" w:color="auto" w:fill="auto"/>
            <w:vAlign w:val="center"/>
          </w:tcPr>
          <w:p w14:paraId="4B875BAB">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排查隐患协助整改</w:t>
            </w:r>
          </w:p>
          <w:p w14:paraId="529B2245">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（15分）</w:t>
            </w:r>
          </w:p>
        </w:tc>
        <w:tc>
          <w:tcPr>
            <w:tcW w:w="2910" w:type="dxa"/>
            <w:tcBorders>
              <w:top w:val="single" w:color="auto" w:sz="4" w:space="0"/>
              <w:left w:val="single" w:color="auto" w:sz="4" w:space="0"/>
              <w:bottom w:val="single" w:color="auto" w:sz="4" w:space="0"/>
              <w:right w:val="single" w:color="auto" w:sz="4" w:space="0"/>
            </w:tcBorders>
            <w:shd w:val="clear" w:color="auto" w:fill="auto"/>
            <w:vAlign w:val="center"/>
          </w:tcPr>
          <w:p w14:paraId="7BDF0C8B">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辖区内特种设备使用单位存在的安全隐患，指导企业完成安全隐患闭环；发现隐患及时上报，并协助监察人员及时处置。</w:t>
            </w:r>
          </w:p>
        </w:tc>
        <w:tc>
          <w:tcPr>
            <w:tcW w:w="1905" w:type="dxa"/>
            <w:tcBorders>
              <w:top w:val="single" w:color="auto" w:sz="4" w:space="0"/>
              <w:left w:val="single" w:color="auto" w:sz="4" w:space="0"/>
              <w:bottom w:val="single" w:color="auto" w:sz="4" w:space="0"/>
              <w:right w:val="single" w:color="auto" w:sz="4" w:space="0"/>
            </w:tcBorders>
            <w:shd w:val="clear" w:color="auto" w:fill="auto"/>
            <w:vAlign w:val="center"/>
          </w:tcPr>
          <w:p w14:paraId="2DF99B9F">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针对安全隐患企业指导整改闭环，未完成一家企业扣0.1分</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4CB306C9">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188" w:beforeAutospacing="0" w:after="0" w:afterAutospacing="0" w:line="360" w:lineRule="auto"/>
              <w:ind w:left="0" w:right="486"/>
              <w:jc w:val="center"/>
              <w:textAlignment w:val="auto"/>
              <w:rPr>
                <w:rFonts w:hint="eastAsia" w:ascii="宋体" w:hAnsi="宋体" w:eastAsia="宋体" w:cs="宋体"/>
                <w:color w:val="auto"/>
                <w:spacing w:val="0"/>
                <w:sz w:val="24"/>
                <w:szCs w:val="24"/>
                <w:highlight w:val="none"/>
              </w:rPr>
            </w:pPr>
          </w:p>
        </w:tc>
      </w:tr>
      <w:tr w14:paraId="489E8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vMerge w:val="continue"/>
            <w:tcBorders>
              <w:top w:val="nil"/>
              <w:left w:val="single" w:color="auto" w:sz="4" w:space="0"/>
              <w:bottom w:val="single" w:color="auto" w:sz="4" w:space="0"/>
              <w:right w:val="single" w:color="auto" w:sz="4" w:space="0"/>
            </w:tcBorders>
            <w:shd w:val="clear" w:color="auto" w:fill="auto"/>
            <w:vAlign w:val="center"/>
          </w:tcPr>
          <w:p w14:paraId="3D310A20">
            <w:pPr>
              <w:keepNext w:val="0"/>
              <w:keepLines w:val="0"/>
              <w:pageBreakBefore w:val="0"/>
              <w:suppressLineNumbers w:val="0"/>
              <w:kinsoku/>
              <w:wordWrap/>
              <w:overflowPunct/>
              <w:topLinePunct w:val="0"/>
              <w:bidi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p>
        </w:tc>
        <w:tc>
          <w:tcPr>
            <w:tcW w:w="1138" w:type="dxa"/>
            <w:vMerge w:val="continue"/>
            <w:tcBorders>
              <w:top w:val="nil"/>
              <w:left w:val="single" w:color="auto" w:sz="4" w:space="0"/>
              <w:bottom w:val="single" w:color="auto" w:sz="4" w:space="0"/>
              <w:right w:val="single" w:color="auto" w:sz="4" w:space="0"/>
            </w:tcBorders>
            <w:shd w:val="clear" w:color="auto" w:fill="auto"/>
            <w:vAlign w:val="center"/>
          </w:tcPr>
          <w:p w14:paraId="2D94E05E">
            <w:pPr>
              <w:keepNext w:val="0"/>
              <w:keepLines w:val="0"/>
              <w:pageBreakBefore w:val="0"/>
              <w:suppressLineNumbers w:val="0"/>
              <w:kinsoku/>
              <w:wordWrap/>
              <w:overflowPunct/>
              <w:topLinePunct w:val="0"/>
              <w:bidi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p>
        </w:tc>
        <w:tc>
          <w:tcPr>
            <w:tcW w:w="1352" w:type="dxa"/>
            <w:tcBorders>
              <w:top w:val="single" w:color="auto" w:sz="4" w:space="0"/>
              <w:left w:val="single" w:color="auto" w:sz="4" w:space="0"/>
              <w:bottom w:val="single" w:color="auto" w:sz="4" w:space="0"/>
              <w:right w:val="single" w:color="auto" w:sz="4" w:space="0"/>
            </w:tcBorders>
            <w:shd w:val="clear" w:color="auto" w:fill="auto"/>
            <w:vAlign w:val="center"/>
          </w:tcPr>
          <w:p w14:paraId="3CB7D7AC">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专项活动</w:t>
            </w:r>
          </w:p>
        </w:tc>
        <w:tc>
          <w:tcPr>
            <w:tcW w:w="2910" w:type="dxa"/>
            <w:tcBorders>
              <w:top w:val="single" w:color="auto" w:sz="4" w:space="0"/>
              <w:left w:val="single" w:color="auto" w:sz="4" w:space="0"/>
              <w:bottom w:val="single" w:color="auto" w:sz="4" w:space="0"/>
              <w:right w:val="single" w:color="auto" w:sz="4" w:space="0"/>
            </w:tcBorders>
            <w:shd w:val="clear" w:color="auto" w:fill="auto"/>
            <w:vAlign w:val="center"/>
          </w:tcPr>
          <w:p w14:paraId="4B390248">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宣传特种设备安全，普及安全使用特种设备知识</w:t>
            </w:r>
          </w:p>
        </w:tc>
        <w:tc>
          <w:tcPr>
            <w:tcW w:w="1905" w:type="dxa"/>
            <w:tcBorders>
              <w:top w:val="single" w:color="auto" w:sz="4" w:space="0"/>
              <w:left w:val="single" w:color="auto" w:sz="4" w:space="0"/>
              <w:bottom w:val="single" w:color="auto" w:sz="4" w:space="0"/>
              <w:right w:val="single" w:color="auto" w:sz="4" w:space="0"/>
            </w:tcBorders>
            <w:shd w:val="clear" w:color="auto" w:fill="auto"/>
            <w:vAlign w:val="center"/>
          </w:tcPr>
          <w:p w14:paraId="11BC7038">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未完成扣除0.5分</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018ABB21">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188" w:beforeAutospacing="0" w:after="0" w:afterAutospacing="0" w:line="360" w:lineRule="auto"/>
              <w:ind w:left="0" w:right="486"/>
              <w:jc w:val="center"/>
              <w:textAlignment w:val="auto"/>
              <w:rPr>
                <w:rFonts w:hint="eastAsia" w:ascii="宋体" w:hAnsi="宋体" w:eastAsia="宋体" w:cs="宋体"/>
                <w:color w:val="auto"/>
                <w:spacing w:val="0"/>
                <w:sz w:val="24"/>
                <w:szCs w:val="24"/>
                <w:highlight w:val="none"/>
              </w:rPr>
            </w:pPr>
          </w:p>
        </w:tc>
      </w:tr>
    </w:tbl>
    <w:p w14:paraId="59E53716">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188" w:beforeAutospacing="0" w:after="0" w:afterAutospacing="0" w:line="360" w:lineRule="auto"/>
        <w:ind w:left="0" w:right="486" w:firstLine="258"/>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2.考核标准二：</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20"/>
        <w:gridCol w:w="1680"/>
        <w:gridCol w:w="2676"/>
        <w:gridCol w:w="2159"/>
        <w:gridCol w:w="1978"/>
      </w:tblGrid>
      <w:tr w14:paraId="4D542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4" w:hRule="atLeast"/>
          <w:jc w:val="center"/>
        </w:trPr>
        <w:tc>
          <w:tcPr>
            <w:tcW w:w="720" w:type="dxa"/>
            <w:tcBorders>
              <w:top w:val="single" w:color="auto" w:sz="4" w:space="0"/>
              <w:left w:val="single" w:color="auto" w:sz="4" w:space="0"/>
              <w:bottom w:val="single" w:color="auto" w:sz="4" w:space="0"/>
              <w:right w:val="single" w:color="auto" w:sz="4" w:space="0"/>
            </w:tcBorders>
            <w:shd w:val="clear" w:color="auto" w:fill="auto"/>
            <w:vAlign w:val="top"/>
          </w:tcPr>
          <w:p w14:paraId="755819AC">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类别</w:t>
            </w:r>
          </w:p>
        </w:tc>
        <w:tc>
          <w:tcPr>
            <w:tcW w:w="1680" w:type="dxa"/>
            <w:tcBorders>
              <w:top w:val="single" w:color="auto" w:sz="4" w:space="0"/>
              <w:left w:val="single" w:color="auto" w:sz="4" w:space="0"/>
              <w:bottom w:val="single" w:color="auto" w:sz="4" w:space="0"/>
              <w:right w:val="single" w:color="auto" w:sz="4" w:space="0"/>
            </w:tcBorders>
            <w:shd w:val="clear" w:color="auto" w:fill="auto"/>
            <w:vAlign w:val="top"/>
          </w:tcPr>
          <w:p w14:paraId="7746CB21">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项目</w:t>
            </w:r>
          </w:p>
        </w:tc>
        <w:tc>
          <w:tcPr>
            <w:tcW w:w="2676" w:type="dxa"/>
            <w:tcBorders>
              <w:top w:val="single" w:color="auto" w:sz="4" w:space="0"/>
              <w:left w:val="single" w:color="auto" w:sz="4" w:space="0"/>
              <w:bottom w:val="single" w:color="auto" w:sz="4" w:space="0"/>
              <w:right w:val="single" w:color="auto" w:sz="4" w:space="0"/>
            </w:tcBorders>
            <w:shd w:val="clear" w:color="auto" w:fill="auto"/>
            <w:vAlign w:val="top"/>
          </w:tcPr>
          <w:p w14:paraId="6B3FA1EA">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目标</w:t>
            </w:r>
          </w:p>
        </w:tc>
        <w:tc>
          <w:tcPr>
            <w:tcW w:w="2159" w:type="dxa"/>
            <w:tcBorders>
              <w:top w:val="single" w:color="auto" w:sz="4" w:space="0"/>
              <w:left w:val="single" w:color="auto" w:sz="4" w:space="0"/>
              <w:bottom w:val="single" w:color="auto" w:sz="4" w:space="0"/>
              <w:right w:val="single" w:color="auto" w:sz="4" w:space="0"/>
            </w:tcBorders>
            <w:shd w:val="clear" w:color="auto" w:fill="auto"/>
            <w:vAlign w:val="top"/>
          </w:tcPr>
          <w:p w14:paraId="32206300">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KPI指标</w:t>
            </w:r>
          </w:p>
        </w:tc>
        <w:tc>
          <w:tcPr>
            <w:tcW w:w="1978" w:type="dxa"/>
            <w:tcBorders>
              <w:top w:val="single" w:color="auto" w:sz="4" w:space="0"/>
              <w:left w:val="single" w:color="auto" w:sz="4" w:space="0"/>
              <w:bottom w:val="single" w:color="auto" w:sz="4" w:space="0"/>
              <w:right w:val="single" w:color="auto" w:sz="4" w:space="0"/>
            </w:tcBorders>
            <w:shd w:val="clear" w:color="auto" w:fill="auto"/>
            <w:vAlign w:val="top"/>
          </w:tcPr>
          <w:p w14:paraId="09FCDC08">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考核细则</w:t>
            </w:r>
          </w:p>
        </w:tc>
      </w:tr>
      <w:tr w14:paraId="7790D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48" w:hRule="atLeast"/>
          <w:jc w:val="center"/>
        </w:trPr>
        <w:tc>
          <w:tcPr>
            <w:tcW w:w="720" w:type="dxa"/>
            <w:vMerge w:val="restart"/>
            <w:tcBorders>
              <w:top w:val="nil"/>
              <w:left w:val="single" w:color="auto" w:sz="4" w:space="0"/>
              <w:bottom w:val="single" w:color="auto" w:sz="4" w:space="0"/>
              <w:right w:val="single" w:color="auto" w:sz="4" w:space="0"/>
            </w:tcBorders>
            <w:shd w:val="clear" w:color="auto" w:fill="auto"/>
            <w:vAlign w:val="center"/>
          </w:tcPr>
          <w:p w14:paraId="5C518687">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行政规范</w:t>
            </w: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5BEBA74E">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意识形态</w:t>
            </w:r>
          </w:p>
        </w:tc>
        <w:tc>
          <w:tcPr>
            <w:tcW w:w="2676" w:type="dxa"/>
            <w:tcBorders>
              <w:top w:val="single" w:color="auto" w:sz="4" w:space="0"/>
              <w:left w:val="single" w:color="auto" w:sz="4" w:space="0"/>
              <w:bottom w:val="single" w:color="auto" w:sz="4" w:space="0"/>
              <w:right w:val="single" w:color="auto" w:sz="4" w:space="0"/>
            </w:tcBorders>
            <w:shd w:val="clear" w:color="auto" w:fill="auto"/>
            <w:vAlign w:val="center"/>
          </w:tcPr>
          <w:p w14:paraId="5DFFC2BE">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特种设备安全服务意识</w:t>
            </w:r>
          </w:p>
        </w:tc>
        <w:tc>
          <w:tcPr>
            <w:tcW w:w="2159" w:type="dxa"/>
            <w:tcBorders>
              <w:top w:val="single" w:color="auto" w:sz="4" w:space="0"/>
              <w:left w:val="single" w:color="auto" w:sz="4" w:space="0"/>
              <w:bottom w:val="single" w:color="auto" w:sz="4" w:space="0"/>
              <w:right w:val="single" w:color="auto" w:sz="4" w:space="0"/>
            </w:tcBorders>
            <w:shd w:val="clear" w:color="auto" w:fill="auto"/>
            <w:vAlign w:val="center"/>
          </w:tcPr>
          <w:p w14:paraId="765F2D3E">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加强理论知识学习，及时了解掌握最新政策要求及相关规定。</w:t>
            </w:r>
          </w:p>
        </w:tc>
        <w:tc>
          <w:tcPr>
            <w:tcW w:w="1978" w:type="dxa"/>
            <w:tcBorders>
              <w:top w:val="single" w:color="auto" w:sz="4" w:space="0"/>
              <w:left w:val="single" w:color="auto" w:sz="4" w:space="0"/>
              <w:bottom w:val="single" w:color="auto" w:sz="4" w:space="0"/>
              <w:right w:val="single" w:color="auto" w:sz="4" w:space="0"/>
            </w:tcBorders>
            <w:shd w:val="clear" w:color="auto" w:fill="auto"/>
            <w:vAlign w:val="center"/>
          </w:tcPr>
          <w:p w14:paraId="218816FA">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排查不及格予以处罚</w:t>
            </w:r>
          </w:p>
        </w:tc>
      </w:tr>
      <w:tr w14:paraId="25B2E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76" w:hRule="atLeast"/>
          <w:jc w:val="center"/>
        </w:trPr>
        <w:tc>
          <w:tcPr>
            <w:tcW w:w="720" w:type="dxa"/>
            <w:vMerge w:val="continue"/>
            <w:tcBorders>
              <w:top w:val="nil"/>
              <w:left w:val="single" w:color="auto" w:sz="4" w:space="0"/>
              <w:bottom w:val="single" w:color="auto" w:sz="4" w:space="0"/>
              <w:right w:val="single" w:color="auto" w:sz="4" w:space="0"/>
            </w:tcBorders>
            <w:shd w:val="clear" w:color="auto" w:fill="auto"/>
            <w:vAlign w:val="center"/>
          </w:tcPr>
          <w:p w14:paraId="453FC1C9">
            <w:pPr>
              <w:keepNext w:val="0"/>
              <w:keepLines w:val="0"/>
              <w:pageBreakBefore w:val="0"/>
              <w:suppressLineNumbers w:val="0"/>
              <w:kinsoku/>
              <w:wordWrap/>
              <w:overflowPunct/>
              <w:topLinePunct w:val="0"/>
              <w:bidi w:val="0"/>
              <w:snapToGrid w:val="0"/>
              <w:spacing w:before="0" w:beforeAutospacing="0" w:after="0" w:afterAutospacing="0" w:line="360" w:lineRule="auto"/>
              <w:ind w:left="0" w:right="0"/>
              <w:textAlignment w:val="auto"/>
              <w:rPr>
                <w:rFonts w:hint="eastAsia" w:ascii="宋体" w:hAnsi="宋体" w:eastAsia="宋体" w:cs="宋体"/>
                <w:color w:val="auto"/>
                <w:spacing w:val="0"/>
                <w:sz w:val="24"/>
                <w:szCs w:val="24"/>
                <w:highlight w:val="none"/>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4696470F">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行为规范</w:t>
            </w:r>
          </w:p>
        </w:tc>
        <w:tc>
          <w:tcPr>
            <w:tcW w:w="2676" w:type="dxa"/>
            <w:tcBorders>
              <w:top w:val="single" w:color="auto" w:sz="4" w:space="0"/>
              <w:left w:val="single" w:color="auto" w:sz="4" w:space="0"/>
              <w:bottom w:val="single" w:color="auto" w:sz="4" w:space="0"/>
              <w:right w:val="single" w:color="auto" w:sz="4" w:space="0"/>
            </w:tcBorders>
            <w:shd w:val="clear" w:color="auto" w:fill="auto"/>
            <w:vAlign w:val="center"/>
          </w:tcPr>
          <w:p w14:paraId="69BBDFC4">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加强工作作风建设，不发生履职不力、作风不实、效能不高、纪律不严等行风事项投诉；根据实际情况，按照要求做好行风事项投诉反馈。</w:t>
            </w:r>
          </w:p>
        </w:tc>
        <w:tc>
          <w:tcPr>
            <w:tcW w:w="2159" w:type="dxa"/>
            <w:tcBorders>
              <w:top w:val="single" w:color="auto" w:sz="4" w:space="0"/>
              <w:left w:val="single" w:color="auto" w:sz="4" w:space="0"/>
              <w:bottom w:val="single" w:color="auto" w:sz="4" w:space="0"/>
              <w:right w:val="single" w:color="auto" w:sz="4" w:space="0"/>
            </w:tcBorders>
            <w:shd w:val="clear" w:color="auto" w:fill="auto"/>
            <w:vAlign w:val="center"/>
          </w:tcPr>
          <w:p w14:paraId="783F2389">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加强作风建设、纪律要求、提高效能。</w:t>
            </w:r>
          </w:p>
        </w:tc>
        <w:tc>
          <w:tcPr>
            <w:tcW w:w="1978" w:type="dxa"/>
            <w:tcBorders>
              <w:top w:val="single" w:color="auto" w:sz="4" w:space="0"/>
              <w:left w:val="single" w:color="auto" w:sz="4" w:space="0"/>
              <w:bottom w:val="single" w:color="auto" w:sz="4" w:space="0"/>
              <w:right w:val="single" w:color="auto" w:sz="4" w:space="0"/>
            </w:tcBorders>
            <w:shd w:val="clear" w:color="auto" w:fill="auto"/>
            <w:vAlign w:val="center"/>
          </w:tcPr>
          <w:p w14:paraId="6438D0A5">
            <w:pPr>
              <w:pStyle w:val="35"/>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行政监督抽查发现按相关规定处罚或开除。</w:t>
            </w:r>
          </w:p>
        </w:tc>
      </w:tr>
    </w:tbl>
    <w:p w14:paraId="57BAC6BA">
      <w:pPr>
        <w:keepNext w:val="0"/>
        <w:keepLines w:val="0"/>
        <w:pageBreakBefore w:val="0"/>
        <w:widowControl w:val="0"/>
        <w:suppressLineNumbers w:val="0"/>
        <w:kinsoku/>
        <w:wordWrap/>
        <w:overflowPunct/>
        <w:topLinePunct w:val="0"/>
        <w:bidi w:val="0"/>
        <w:snapToGrid w:val="0"/>
        <w:spacing w:before="0" w:beforeAutospacing="0" w:after="0" w:afterAutospacing="0" w:line="360" w:lineRule="auto"/>
        <w:ind w:left="0" w:right="0" w:firstLine="480"/>
        <w:jc w:val="both"/>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kern w:val="0"/>
          <w:sz w:val="24"/>
          <w:szCs w:val="24"/>
          <w:highlight w:val="none"/>
          <w:lang w:val="en-US" w:eastAsia="zh-CN" w:bidi="ar"/>
        </w:rPr>
        <w:t>3.管理考核办法</w:t>
      </w:r>
    </w:p>
    <w:p w14:paraId="6C51F1FE">
      <w:pPr>
        <w:keepNext w:val="0"/>
        <w:keepLines w:val="0"/>
        <w:pageBreakBefore w:val="0"/>
        <w:widowControl w:val="0"/>
        <w:suppressLineNumbers w:val="0"/>
        <w:kinsoku/>
        <w:wordWrap/>
        <w:overflowPunct/>
        <w:topLinePunct w:val="0"/>
        <w:bidi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（1）排查人员管理要求：</w:t>
      </w:r>
    </w:p>
    <w:p w14:paraId="2071B81A">
      <w:pPr>
        <w:keepNext w:val="0"/>
        <w:keepLines w:val="0"/>
        <w:pageBreakBefore w:val="0"/>
        <w:widowControl w:val="0"/>
        <w:suppressLineNumbers w:val="0"/>
        <w:kinsoku/>
        <w:wordWrap/>
        <w:overflowPunct/>
        <w:topLinePunct w:val="0"/>
        <w:bidi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①人员不得迟到早退，准时上下班，如有特殊情况需向招标人提前说明</w:t>
      </w:r>
    </w:p>
    <w:p w14:paraId="7437084A">
      <w:pPr>
        <w:keepNext w:val="0"/>
        <w:keepLines w:val="0"/>
        <w:pageBreakBefore w:val="0"/>
        <w:widowControl w:val="0"/>
        <w:suppressLineNumbers w:val="0"/>
        <w:kinsoku/>
        <w:wordWrap/>
        <w:overflowPunct/>
        <w:topLinePunct w:val="0"/>
        <w:bidi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②着装整洁，言谈举止规范，待人接物文明有礼</w:t>
      </w:r>
    </w:p>
    <w:p w14:paraId="062B18FE">
      <w:pPr>
        <w:keepNext w:val="0"/>
        <w:keepLines w:val="0"/>
        <w:pageBreakBefore w:val="0"/>
        <w:widowControl w:val="0"/>
        <w:suppressLineNumbers w:val="0"/>
        <w:kinsoku/>
        <w:wordWrap/>
        <w:overflowPunct/>
        <w:topLinePunct w:val="0"/>
        <w:bidi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③按时完成用人方布置的工作任务</w:t>
      </w:r>
    </w:p>
    <w:p w14:paraId="544CA885">
      <w:pPr>
        <w:keepNext w:val="0"/>
        <w:keepLines w:val="0"/>
        <w:pageBreakBefore w:val="0"/>
        <w:widowControl w:val="0"/>
        <w:suppressLineNumbers w:val="0"/>
        <w:kinsoku/>
        <w:wordWrap/>
        <w:overflowPunct/>
        <w:topLinePunct w:val="0"/>
        <w:bidi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（2）业务考核要求，见考核表一，每次付款前考核，按百分制，90分为合格，低于90分，每低0.1分扣除100元，在当期付款中扣除。</w:t>
      </w:r>
    </w:p>
    <w:p w14:paraId="155972A1">
      <w:pPr>
        <w:keepNext w:val="0"/>
        <w:keepLines w:val="0"/>
        <w:pageBreakBefore w:val="0"/>
        <w:widowControl w:val="0"/>
        <w:suppressLineNumbers w:val="0"/>
        <w:kinsoku/>
        <w:wordWrap/>
        <w:overflowPunct/>
        <w:topLinePunct w:val="0"/>
        <w:bidi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（3）日常质量考核，见考核表二，由招标人随机抽查，发现一次不合格罚款500元。</w:t>
      </w:r>
    </w:p>
    <w:p w14:paraId="31FC4ECC">
      <w:pPr>
        <w:keepNext w:val="0"/>
        <w:keepLines w:val="0"/>
        <w:pageBreakBefore w:val="0"/>
        <w:widowControl w:val="0"/>
        <w:suppressLineNumbers w:val="0"/>
        <w:kinsoku/>
        <w:wordWrap/>
        <w:overflowPunct/>
        <w:topLinePunct w:val="0"/>
        <w:bidi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（4）其他扣分项：</w:t>
      </w:r>
    </w:p>
    <w:p w14:paraId="3E0A3853">
      <w:pPr>
        <w:keepNext w:val="0"/>
        <w:keepLines w:val="0"/>
        <w:pageBreakBefore w:val="0"/>
        <w:widowControl w:val="0"/>
        <w:suppressLineNumbers w:val="0"/>
        <w:kinsoku/>
        <w:wordWrap/>
        <w:overflowPunct/>
        <w:topLinePunct w:val="0"/>
        <w:bidi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①违反上款（1）项的，发现一次扣除100元。</w:t>
      </w:r>
    </w:p>
    <w:p w14:paraId="6FD4176E">
      <w:pPr>
        <w:keepNext w:val="0"/>
        <w:keepLines w:val="0"/>
        <w:pageBreakBefore w:val="0"/>
        <w:widowControl w:val="0"/>
        <w:suppressLineNumbers w:val="0"/>
        <w:kinsoku/>
        <w:wordWrap/>
        <w:overflowPunct/>
        <w:topLinePunct w:val="0"/>
        <w:bidi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②对排查过的企业单位，针对省、市、区县各级督查发现重大隐患通报的问题，按照1000元/项进行扣除。</w:t>
      </w:r>
    </w:p>
    <w:p w14:paraId="2C4EBF0D">
      <w:pPr>
        <w:keepNext w:val="0"/>
        <w:keepLines w:val="0"/>
        <w:pageBreakBefore w:val="0"/>
        <w:widowControl w:val="0"/>
        <w:suppressLineNumbers w:val="0"/>
        <w:kinsoku/>
        <w:wordWrap/>
        <w:overflowPunct/>
        <w:topLinePunct w:val="0"/>
        <w:bidi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③每季度提交季度工作报告，未能及时提交的，按照每组500元扣除（报告每月25日之前提交）。</w:t>
      </w:r>
    </w:p>
    <w:p w14:paraId="4FB094DD">
      <w:pPr>
        <w:keepNext w:val="0"/>
        <w:keepLines w:val="0"/>
        <w:pageBreakBefore w:val="0"/>
        <w:widowControl w:val="0"/>
        <w:suppressLineNumbers w:val="0"/>
        <w:kinsoku/>
        <w:wordWrap/>
        <w:overflowPunct/>
        <w:topLinePunct w:val="0"/>
        <w:bidi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④对季度报告中，发现排查不仔细，有遗漏问题未查出的，每发现一项扣100元，5000封顶。</w:t>
      </w:r>
    </w:p>
    <w:p w14:paraId="715C1D9C">
      <w:pPr>
        <w:keepNext w:val="0"/>
        <w:keepLines w:val="0"/>
        <w:pageBreakBefore w:val="0"/>
        <w:widowControl w:val="0"/>
        <w:suppressLineNumbers w:val="0"/>
        <w:kinsoku/>
        <w:wordWrap/>
        <w:overflowPunct/>
        <w:topLinePunct w:val="0"/>
        <w:bidi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⑤不能按时完成区局布置的排查任务，每发现一次扣除1000元。</w:t>
      </w:r>
    </w:p>
    <w:p w14:paraId="2F5ABCA7">
      <w:pPr>
        <w:keepNext w:val="0"/>
        <w:keepLines w:val="0"/>
        <w:pageBreakBefore w:val="0"/>
        <w:widowControl w:val="0"/>
        <w:suppressLineNumbers w:val="0"/>
        <w:kinsoku/>
        <w:wordWrap/>
        <w:overflowPunct/>
        <w:topLinePunct w:val="0"/>
        <w:bidi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⑥人员未按照用人方要求到位的，按人次扣除服务费3000元。若一年内人员流动性超过总人数的20%，则扣除服务费5000元。</w:t>
      </w:r>
    </w:p>
    <w:p w14:paraId="39AC1FE4">
      <w:pPr>
        <w:keepNext w:val="0"/>
        <w:keepLines w:val="0"/>
        <w:pageBreakBefore w:val="0"/>
        <w:widowControl w:val="0"/>
        <w:suppressLineNumbers w:val="0"/>
        <w:kinsoku/>
        <w:wordWrap/>
        <w:overflowPunct/>
        <w:topLinePunct w:val="0"/>
        <w:bidi w:val="0"/>
        <w:snapToGrid w:val="0"/>
        <w:spacing w:before="0" w:beforeAutospacing="0" w:after="0" w:afterAutospacing="0" w:line="360" w:lineRule="auto"/>
        <w:ind w:left="0" w:right="0" w:firstLine="480"/>
        <w:jc w:val="both"/>
        <w:textAlignment w:val="auto"/>
        <w:rPr>
          <w:rFonts w:hint="eastAsia" w:ascii="宋体" w:hAnsi="宋体" w:eastAsia="宋体" w:cs="宋体"/>
          <w:color w:val="auto"/>
          <w:spacing w:val="0"/>
          <w:kern w:val="0"/>
          <w:sz w:val="24"/>
          <w:szCs w:val="24"/>
          <w:highlight w:val="none"/>
        </w:rPr>
      </w:pPr>
      <w:r>
        <w:rPr>
          <w:rFonts w:hint="eastAsia" w:ascii="宋体" w:hAnsi="宋体" w:eastAsia="宋体" w:cs="宋体"/>
          <w:color w:val="auto"/>
          <w:spacing w:val="0"/>
          <w:kern w:val="0"/>
          <w:sz w:val="24"/>
          <w:szCs w:val="24"/>
          <w:highlight w:val="none"/>
        </w:rPr>
        <w:t>附件二：开标一览表</w:t>
      </w:r>
    </w:p>
    <w:p w14:paraId="044A92BF">
      <w:pPr>
        <w:keepNext w:val="0"/>
        <w:keepLines w:val="0"/>
        <w:pageBreakBefore w:val="0"/>
        <w:widowControl w:val="0"/>
        <w:suppressLineNumbers w:val="0"/>
        <w:kinsoku/>
        <w:wordWrap/>
        <w:overflowPunct/>
        <w:topLinePunct w:val="0"/>
        <w:bidi w:val="0"/>
        <w:snapToGrid w:val="0"/>
        <w:spacing w:before="0" w:beforeAutospacing="0" w:after="0" w:afterAutospacing="0" w:line="360" w:lineRule="auto"/>
        <w:ind w:left="0" w:right="0" w:firstLine="480"/>
        <w:jc w:val="both"/>
        <w:textAlignment w:val="auto"/>
        <w:rPr>
          <w:rFonts w:hint="eastAsia" w:ascii="宋体" w:hAnsi="宋体" w:eastAsia="宋体" w:cs="宋体"/>
          <w:b w:val="0"/>
          <w:bCs/>
          <w:color w:val="auto"/>
          <w:sz w:val="24"/>
          <w:szCs w:val="24"/>
          <w:highlight w:val="none"/>
          <w:u w:val="none"/>
        </w:rPr>
      </w:pPr>
      <w:r>
        <w:rPr>
          <w:rFonts w:hint="eastAsia" w:ascii="宋体" w:hAnsi="宋体" w:eastAsia="宋体" w:cs="宋体"/>
          <w:color w:val="auto"/>
          <w:spacing w:val="0"/>
          <w:kern w:val="0"/>
          <w:sz w:val="24"/>
          <w:szCs w:val="24"/>
          <w:highlight w:val="none"/>
        </w:rPr>
        <w:t>附件三：分项报价表</w:t>
      </w:r>
    </w:p>
    <w:p w14:paraId="5A77240D">
      <w:pPr>
        <w:keepNext w:val="0"/>
        <w:keepLines w:val="0"/>
        <w:pageBreakBefore w:val="0"/>
        <w:widowControl w:val="0"/>
        <w:spacing w:line="360" w:lineRule="auto"/>
        <w:ind w:firstLine="480"/>
        <w:outlineLvl w:val="9"/>
        <w:rPr>
          <w:rFonts w:hint="eastAsia" w:ascii="宋体" w:hAnsi="宋体" w:eastAsia="宋体" w:cs="宋体"/>
          <w:b w:val="0"/>
          <w:bCs/>
          <w:color w:val="auto"/>
          <w:sz w:val="24"/>
          <w:szCs w:val="24"/>
          <w:highlight w:val="none"/>
          <w:u w:val="none"/>
        </w:rPr>
        <w:sectPr>
          <w:pgSz w:w="11906" w:h="16838"/>
          <w:pgMar w:top="1134" w:right="1134" w:bottom="1134" w:left="1134" w:header="624" w:footer="907" w:gutter="0"/>
          <w:cols w:space="1701" w:num="1"/>
          <w:rtlGutter w:val="0"/>
          <w:docGrid w:linePitch="360" w:charSpace="0"/>
        </w:sectPr>
      </w:pPr>
    </w:p>
    <w:p w14:paraId="21CF821B">
      <w:pPr>
        <w:spacing w:line="360" w:lineRule="auto"/>
        <w:jc w:val="center"/>
        <w:outlineLvl w:val="0"/>
        <w:rPr>
          <w:rFonts w:hint="eastAsia" w:ascii="黑体" w:eastAsia="黑体"/>
          <w:bCs/>
          <w:color w:val="auto"/>
          <w:sz w:val="28"/>
          <w:szCs w:val="28"/>
          <w:highlight w:val="none"/>
        </w:rPr>
      </w:pPr>
      <w:bookmarkStart w:id="6" w:name="_Toc8588"/>
      <w:r>
        <w:rPr>
          <w:rFonts w:hint="eastAsia" w:ascii="黑体" w:eastAsia="黑体"/>
          <w:bCs/>
          <w:color w:val="auto"/>
          <w:sz w:val="28"/>
          <w:szCs w:val="28"/>
          <w:highlight w:val="none"/>
          <w:lang w:eastAsia="zh-CN"/>
        </w:rPr>
        <w:t>六、</w:t>
      </w:r>
      <w:r>
        <w:rPr>
          <w:rFonts w:hint="eastAsia" w:ascii="黑体" w:eastAsia="黑体"/>
          <w:bCs/>
          <w:color w:val="auto"/>
          <w:sz w:val="28"/>
          <w:szCs w:val="28"/>
          <w:highlight w:val="none"/>
        </w:rPr>
        <w:t>附件</w:t>
      </w:r>
      <w:bookmarkEnd w:id="6"/>
    </w:p>
    <w:p w14:paraId="61B58C72">
      <w:pPr>
        <w:keepNext w:val="0"/>
        <w:keepLines w:val="0"/>
        <w:pageBreakBefore w:val="0"/>
        <w:widowControl w:val="0"/>
        <w:kinsoku/>
        <w:wordWrap/>
        <w:overflowPunct/>
        <w:topLinePunct w:val="0"/>
        <w:autoSpaceDE/>
        <w:autoSpaceDN/>
        <w:bidi w:val="0"/>
        <w:adjustRightInd/>
        <w:snapToGrid/>
        <w:spacing w:line="336" w:lineRule="auto"/>
        <w:jc w:val="left"/>
        <w:textAlignment w:val="auto"/>
        <w:outlineLvl w:val="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附件一：</w:t>
      </w:r>
    </w:p>
    <w:p w14:paraId="09809FC8">
      <w:pPr>
        <w:keepNext w:val="0"/>
        <w:keepLines w:val="0"/>
        <w:pageBreakBefore w:val="0"/>
        <w:kinsoku/>
        <w:wordWrap/>
        <w:overflowPunct/>
        <w:topLinePunct w:val="0"/>
        <w:autoSpaceDE/>
        <w:autoSpaceDN/>
        <w:bidi w:val="0"/>
        <w:spacing w:line="360" w:lineRule="auto"/>
        <w:ind w:firstLine="480" w:firstLineChars="200"/>
        <w:jc w:val="left"/>
        <w:textAlignment w:val="auto"/>
        <w:outlineLvl w:val="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一、评标方法</w:t>
      </w:r>
    </w:p>
    <w:p w14:paraId="7BAED661">
      <w:pPr>
        <w:keepNext w:val="0"/>
        <w:keepLines w:val="0"/>
        <w:pageBreakBefore w:val="0"/>
        <w:tabs>
          <w:tab w:val="left" w:pos="945"/>
          <w:tab w:val="left" w:pos="1155"/>
        </w:tabs>
        <w:kinsoku/>
        <w:wordWrap/>
        <w:overflowPunct/>
        <w:topLinePunct w:val="0"/>
        <w:autoSpaceDE/>
        <w:autoSpaceDN/>
        <w:bidi w:val="0"/>
        <w:spacing w:line="360" w:lineRule="auto"/>
        <w:ind w:left="0" w:leftChars="0"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比较与评价采用综合评分法（计分均保留2位小数），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0E5C6EDC">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outlineLvl w:val="1"/>
        <w:rPr>
          <w:rFonts w:hint="eastAsia" w:ascii="宋体" w:hAnsi="宋体" w:eastAsia="宋体" w:cs="宋体"/>
          <w:b/>
          <w:bCs/>
          <w:color w:val="auto"/>
          <w:sz w:val="24"/>
          <w:highlight w:val="none"/>
        </w:rPr>
      </w:pPr>
      <w:r>
        <w:rPr>
          <w:rFonts w:hint="eastAsia" w:ascii="宋体" w:hAnsi="宋体" w:eastAsia="宋体" w:cs="宋体"/>
          <w:bCs/>
          <w:color w:val="auto"/>
          <w:sz w:val="24"/>
          <w:szCs w:val="24"/>
          <w:highlight w:val="none"/>
        </w:rPr>
        <w:t>二、评分标准</w:t>
      </w:r>
    </w:p>
    <w:p w14:paraId="40E40ACA">
      <w:pPr>
        <w:keepNext w:val="0"/>
        <w:keepLines w:val="0"/>
        <w:pageBreakBefore w:val="0"/>
        <w:widowControl w:val="0"/>
        <w:kinsoku/>
        <w:wordWrap/>
        <w:overflowPunct/>
        <w:topLinePunct w:val="0"/>
        <w:autoSpaceDE/>
        <w:autoSpaceDN/>
        <w:bidi w:val="0"/>
        <w:adjustRightInd/>
        <w:snapToGrid/>
        <w:spacing w:line="336" w:lineRule="auto"/>
        <w:ind w:right="0" w:firstLine="482"/>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评分项目及分值（总分100分）</w:t>
      </w:r>
    </w:p>
    <w:p w14:paraId="123D85E1">
      <w:pPr>
        <w:keepNext w:val="0"/>
        <w:keepLines w:val="0"/>
        <w:pageBreakBefore w:val="0"/>
        <w:widowControl w:val="0"/>
        <w:kinsoku/>
        <w:wordWrap/>
        <w:overflowPunct/>
        <w:topLinePunct w:val="0"/>
        <w:autoSpaceDE/>
        <w:autoSpaceDN/>
        <w:bidi w:val="0"/>
        <w:adjustRightInd/>
        <w:snapToGrid/>
        <w:spacing w:line="336" w:lineRule="auto"/>
        <w:ind w:right="0" w:firstLine="482"/>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（1）报价</w:t>
      </w:r>
      <w:r>
        <w:rPr>
          <w:rFonts w:hint="eastAsia" w:ascii="宋体" w:hAnsi="宋体" w:cs="宋体"/>
          <w:b/>
          <w:color w:val="auto"/>
          <w:sz w:val="24"/>
          <w:szCs w:val="24"/>
          <w:highlight w:val="none"/>
          <w:lang w:val="en-US" w:eastAsia="zh-CN"/>
        </w:rPr>
        <w:t>部分</w:t>
      </w:r>
      <w:r>
        <w:rPr>
          <w:rFonts w:hint="eastAsia"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30</w:t>
      </w:r>
      <w:r>
        <w:rPr>
          <w:rFonts w:hint="eastAsia" w:ascii="宋体" w:hAnsi="宋体" w:eastAsia="宋体" w:cs="宋体"/>
          <w:b/>
          <w:color w:val="auto"/>
          <w:sz w:val="24"/>
          <w:szCs w:val="24"/>
          <w:highlight w:val="none"/>
        </w:rPr>
        <w:t>分</w:t>
      </w:r>
    </w:p>
    <w:p w14:paraId="06F9FD9C">
      <w:pPr>
        <w:keepNext w:val="0"/>
        <w:keepLines w:val="0"/>
        <w:pageBreakBefore w:val="0"/>
        <w:widowControl w:val="0"/>
        <w:kinsoku/>
        <w:wordWrap/>
        <w:overflowPunct/>
        <w:topLinePunct w:val="0"/>
        <w:autoSpaceDE/>
        <w:autoSpaceDN/>
        <w:bidi w:val="0"/>
        <w:adjustRightInd/>
        <w:snapToGrid/>
        <w:spacing w:line="336" w:lineRule="auto"/>
        <w:ind w:right="0" w:firstLine="482"/>
        <w:jc w:val="left"/>
        <w:textAlignment w:val="auto"/>
        <w:outlineLvl w:val="9"/>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（2）</w:t>
      </w:r>
      <w:r>
        <w:rPr>
          <w:rFonts w:hint="eastAsia" w:ascii="宋体" w:hAnsi="宋体" w:cs="宋体"/>
          <w:b/>
          <w:color w:val="auto"/>
          <w:sz w:val="24"/>
          <w:szCs w:val="24"/>
          <w:highlight w:val="none"/>
          <w:lang w:val="en-US" w:eastAsia="zh-CN"/>
        </w:rPr>
        <w:t xml:space="preserve">商务部分      </w:t>
      </w:r>
      <w:r>
        <w:rPr>
          <w:rFonts w:hint="eastAsia" w:ascii="宋体" w:hAnsi="宋体" w:eastAsia="宋体" w:cs="宋体"/>
          <w:b/>
          <w:color w:val="auto"/>
          <w:sz w:val="24"/>
          <w:szCs w:val="24"/>
          <w:highlight w:val="none"/>
          <w:lang w:val="en-US"/>
        </w:rPr>
        <w:t xml:space="preserve">                         </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val="en-US"/>
        </w:rPr>
        <w:t xml:space="preserve">  </w:t>
      </w:r>
      <w:r>
        <w:rPr>
          <w:rFonts w:hint="eastAsia" w:ascii="宋体" w:hAnsi="宋体" w:cs="宋体"/>
          <w:b/>
          <w:color w:val="auto"/>
          <w:sz w:val="24"/>
          <w:szCs w:val="24"/>
          <w:highlight w:val="none"/>
          <w:lang w:val="en-US" w:eastAsia="zh-CN"/>
        </w:rPr>
        <w:t>18</w:t>
      </w:r>
      <w:r>
        <w:rPr>
          <w:rFonts w:hint="eastAsia" w:ascii="宋体" w:hAnsi="宋体" w:eastAsia="宋体" w:cs="宋体"/>
          <w:b/>
          <w:color w:val="auto"/>
          <w:sz w:val="24"/>
          <w:szCs w:val="24"/>
          <w:highlight w:val="none"/>
          <w:lang w:val="en-US"/>
        </w:rPr>
        <w:t>分</w:t>
      </w:r>
    </w:p>
    <w:p w14:paraId="1C3FE5E8">
      <w:pPr>
        <w:keepNext w:val="0"/>
        <w:keepLines w:val="0"/>
        <w:pageBreakBefore w:val="0"/>
        <w:widowControl w:val="0"/>
        <w:kinsoku/>
        <w:wordWrap/>
        <w:overflowPunct/>
        <w:topLinePunct w:val="0"/>
        <w:autoSpaceDE/>
        <w:autoSpaceDN/>
        <w:bidi w:val="0"/>
        <w:adjustRightInd/>
        <w:snapToGrid/>
        <w:spacing w:line="336" w:lineRule="auto"/>
        <w:ind w:right="0" w:firstLine="482"/>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（3）技术文件                                  </w:t>
      </w:r>
      <w:r>
        <w:rPr>
          <w:rFonts w:hint="eastAsia" w:ascii="宋体" w:hAnsi="宋体" w:cs="宋体"/>
          <w:b/>
          <w:color w:val="auto"/>
          <w:sz w:val="24"/>
          <w:szCs w:val="24"/>
          <w:highlight w:val="none"/>
          <w:lang w:val="en-US" w:eastAsia="zh-CN"/>
        </w:rPr>
        <w:t>52</w:t>
      </w:r>
      <w:r>
        <w:rPr>
          <w:rFonts w:hint="eastAsia" w:ascii="宋体" w:hAnsi="宋体" w:eastAsia="宋体" w:cs="宋体"/>
          <w:b/>
          <w:color w:val="auto"/>
          <w:sz w:val="24"/>
          <w:szCs w:val="24"/>
          <w:highlight w:val="none"/>
        </w:rPr>
        <w:t>分</w:t>
      </w:r>
    </w:p>
    <w:p w14:paraId="1BF85D5D">
      <w:pPr>
        <w:keepNext w:val="0"/>
        <w:keepLines w:val="0"/>
        <w:pageBreakBefore w:val="0"/>
        <w:widowControl w:val="0"/>
        <w:kinsoku/>
        <w:wordWrap/>
        <w:overflowPunct/>
        <w:topLinePunct w:val="0"/>
        <w:autoSpaceDE/>
        <w:autoSpaceDN/>
        <w:bidi w:val="0"/>
        <w:adjustRightInd/>
        <w:snapToGrid/>
        <w:spacing w:line="336" w:lineRule="auto"/>
        <w:ind w:right="0" w:firstLine="482"/>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各项目评分标准</w:t>
      </w:r>
    </w:p>
    <w:p w14:paraId="7D85E702">
      <w:pPr>
        <w:keepNext w:val="0"/>
        <w:keepLines w:val="0"/>
        <w:pageBreakBefore w:val="0"/>
        <w:widowControl w:val="0"/>
        <w:kinsoku/>
        <w:wordWrap/>
        <w:overflowPunct/>
        <w:topLinePunct w:val="0"/>
        <w:autoSpaceDE/>
        <w:autoSpaceDN/>
        <w:bidi w:val="0"/>
        <w:adjustRightInd/>
        <w:snapToGrid/>
        <w:spacing w:line="360" w:lineRule="auto"/>
        <w:ind w:right="0" w:firstLine="482"/>
        <w:jc w:val="left"/>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1.报价</w:t>
      </w:r>
      <w:r>
        <w:rPr>
          <w:rFonts w:hint="eastAsia" w:ascii="宋体" w:hAnsi="宋体" w:cs="宋体"/>
          <w:b/>
          <w:bCs/>
          <w:color w:val="auto"/>
          <w:sz w:val="24"/>
          <w:szCs w:val="24"/>
          <w:highlight w:val="none"/>
          <w:lang w:val="en-US" w:eastAsia="zh-CN"/>
        </w:rPr>
        <w:t>部分</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分）</w:t>
      </w:r>
    </w:p>
    <w:p w14:paraId="6E8BD738">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w:t>
      </w:r>
      <w:r>
        <w:rPr>
          <w:rFonts w:hint="eastAsia" w:ascii="宋体" w:hAnsi="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的价格分统一按照下列公式计算：</w:t>
      </w:r>
    </w:p>
    <w:p w14:paraId="4F808839">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评标基准价／投标报价</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w:t>
      </w:r>
    </w:p>
    <w:p w14:paraId="4427E2E2">
      <w:pPr>
        <w:keepNext w:val="0"/>
        <w:keepLines w:val="0"/>
        <w:pageBreakBefore w:val="0"/>
        <w:widowControl w:val="0"/>
        <w:tabs>
          <w:tab w:val="left" w:pos="840"/>
          <w:tab w:val="left" w:pos="1050"/>
        </w:tabs>
        <w:kinsoku/>
        <w:wordWrap/>
        <w:overflowPunct/>
        <w:topLinePunct w:val="0"/>
        <w:autoSpaceDE/>
        <w:autoSpaceDN/>
        <w:bidi w:val="0"/>
        <w:adjustRightInd/>
        <w:snapToGrid/>
        <w:spacing w:line="360" w:lineRule="auto"/>
        <w:ind w:left="0" w:firstLine="482"/>
        <w:jc w:val="both"/>
        <w:textAlignment w:val="auto"/>
        <w:outlineLvl w:val="9"/>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评标委员会启动异常低价投标（响应）审查</w:t>
      </w:r>
      <w:r>
        <w:rPr>
          <w:rFonts w:hint="eastAsia" w:ascii="宋体" w:hAnsi="宋体" w:cs="宋体"/>
          <w:b/>
          <w:color w:val="auto"/>
          <w:sz w:val="24"/>
          <w:szCs w:val="24"/>
          <w:highlight w:val="none"/>
          <w:lang w:val="en-US" w:eastAsia="zh-CN"/>
        </w:rPr>
        <w:t>的</w:t>
      </w:r>
      <w:r>
        <w:rPr>
          <w:rFonts w:hint="eastAsia" w:ascii="宋体" w:hAnsi="宋体" w:eastAsia="宋体" w:cs="宋体"/>
          <w:b/>
          <w:color w:val="auto"/>
          <w:sz w:val="24"/>
          <w:szCs w:val="24"/>
          <w:highlight w:val="none"/>
        </w:rPr>
        <w:t>，将要求</w:t>
      </w:r>
      <w:r>
        <w:rPr>
          <w:rFonts w:hint="eastAsia" w:ascii="宋体" w:hAnsi="宋体" w:cs="宋体"/>
          <w:b/>
          <w:color w:val="auto"/>
          <w:sz w:val="24"/>
          <w:szCs w:val="24"/>
          <w:highlight w:val="none"/>
          <w:lang w:val="en-US" w:eastAsia="zh-CN"/>
        </w:rPr>
        <w:t>供应商</w:t>
      </w:r>
      <w:r>
        <w:rPr>
          <w:rFonts w:hint="eastAsia" w:ascii="宋体" w:hAnsi="宋体" w:eastAsia="宋体" w:cs="宋体"/>
          <w:b/>
          <w:color w:val="auto"/>
          <w:sz w:val="24"/>
          <w:szCs w:val="24"/>
          <w:highlight w:val="none"/>
        </w:rPr>
        <w:t>在评标现场合理的时间内，提供项目具体成本测算等与报价合理性相关的书面说明及相关证明材料</w:t>
      </w:r>
      <w:r>
        <w:rPr>
          <w:rFonts w:hint="eastAsia" w:ascii="宋体" w:hAnsi="宋体" w:cs="宋体"/>
          <w:b/>
          <w:color w:val="auto"/>
          <w:sz w:val="24"/>
          <w:szCs w:val="24"/>
          <w:highlight w:val="none"/>
          <w:lang w:eastAsia="zh-CN"/>
        </w:rPr>
        <w:t>，并</w:t>
      </w:r>
      <w:r>
        <w:rPr>
          <w:rFonts w:hint="eastAsia" w:ascii="宋体" w:hAnsi="宋体" w:eastAsia="宋体" w:cs="宋体"/>
          <w:b/>
          <w:color w:val="auto"/>
          <w:sz w:val="24"/>
          <w:szCs w:val="24"/>
          <w:highlight w:val="none"/>
        </w:rPr>
        <w:t>对投标（响应）价格作出解释，由评审委员会结合同类产品在主要电商平台的价格、该行业当地薪资水平等情况，依据专业经验对供应商报价合理性进行判断</w:t>
      </w:r>
      <w:r>
        <w:rPr>
          <w:rFonts w:hint="eastAsia" w:ascii="宋体" w:hAnsi="宋体" w:cs="宋体"/>
          <w:b/>
          <w:color w:val="auto"/>
          <w:sz w:val="24"/>
          <w:szCs w:val="24"/>
          <w:highlight w:val="none"/>
          <w:lang w:eastAsia="zh-CN"/>
        </w:rPr>
        <w:t>。投标（响应）供应商不提供书面说明、证明材料，或者提供的书面说明、证明材料不能证明其报价合理性的，评审委员会应当将其作为无效投标（响应）处理。审查相关情况应当在评审报告中进行记录。</w:t>
      </w:r>
    </w:p>
    <w:p w14:paraId="4D225C41">
      <w:pPr>
        <w:keepNext w:val="0"/>
        <w:keepLines w:val="0"/>
        <w:pageBreakBefore w:val="0"/>
        <w:widowControl w:val="0"/>
        <w:tabs>
          <w:tab w:val="left" w:pos="840"/>
          <w:tab w:val="left" w:pos="1050"/>
        </w:tabs>
        <w:kinsoku/>
        <w:wordWrap/>
        <w:overflowPunct/>
        <w:topLinePunct w:val="0"/>
        <w:autoSpaceDE/>
        <w:autoSpaceDN/>
        <w:bidi w:val="0"/>
        <w:adjustRightInd/>
        <w:snapToGrid/>
        <w:spacing w:line="360" w:lineRule="auto"/>
        <w:ind w:left="0" w:firstLine="482"/>
        <w:jc w:val="both"/>
        <w:textAlignment w:val="auto"/>
        <w:outlineLvl w:val="9"/>
        <w:rPr>
          <w:rFonts w:hint="eastAsia" w:ascii="宋体" w:hAnsi="宋体" w:cs="宋体"/>
          <w:b/>
          <w:color w:val="auto"/>
          <w:sz w:val="24"/>
          <w:szCs w:val="24"/>
          <w:highlight w:val="none"/>
          <w:lang w:eastAsia="zh-CN"/>
        </w:rPr>
      </w:pPr>
      <w:r>
        <w:rPr>
          <w:rFonts w:hint="eastAsia" w:ascii="宋体" w:hAnsi="宋体" w:eastAsia="宋体" w:cs="宋体"/>
          <w:b/>
          <w:color w:val="auto"/>
          <w:sz w:val="24"/>
          <w:szCs w:val="24"/>
          <w:highlight w:val="none"/>
        </w:rPr>
        <w:t>评审委员会启动异常低价投标（响应）审查的情形</w:t>
      </w:r>
      <w:r>
        <w:rPr>
          <w:rFonts w:hint="eastAsia" w:ascii="宋体" w:hAnsi="宋体" w:cs="宋体"/>
          <w:b/>
          <w:color w:val="auto"/>
          <w:sz w:val="24"/>
          <w:szCs w:val="24"/>
          <w:highlight w:val="none"/>
          <w:lang w:eastAsia="zh-CN"/>
        </w:rPr>
        <w:t>：</w:t>
      </w:r>
    </w:p>
    <w:p w14:paraId="68B074B2">
      <w:pPr>
        <w:keepNext w:val="0"/>
        <w:keepLines w:val="0"/>
        <w:pageBreakBefore w:val="0"/>
        <w:widowControl w:val="0"/>
        <w:tabs>
          <w:tab w:val="left" w:pos="840"/>
          <w:tab w:val="left" w:pos="1050"/>
        </w:tabs>
        <w:kinsoku/>
        <w:wordWrap/>
        <w:overflowPunct/>
        <w:topLinePunct w:val="0"/>
        <w:autoSpaceDE/>
        <w:autoSpaceDN/>
        <w:bidi w:val="0"/>
        <w:adjustRightInd/>
        <w:snapToGrid/>
        <w:spacing w:line="360" w:lineRule="auto"/>
        <w:ind w:left="0" w:firstLine="482"/>
        <w:jc w:val="both"/>
        <w:textAlignment w:val="auto"/>
        <w:outlineLvl w:val="9"/>
        <w:rPr>
          <w:rFonts w:hint="eastAsia"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1.投标（响应）报价低于采购项目预算50%的，即投标（响应）报价〈采购项目预算×50%；</w:t>
      </w:r>
    </w:p>
    <w:p w14:paraId="5048C082">
      <w:pPr>
        <w:keepNext w:val="0"/>
        <w:keepLines w:val="0"/>
        <w:pageBreakBefore w:val="0"/>
        <w:widowControl w:val="0"/>
        <w:tabs>
          <w:tab w:val="left" w:pos="840"/>
          <w:tab w:val="left" w:pos="1050"/>
        </w:tabs>
        <w:kinsoku/>
        <w:wordWrap/>
        <w:overflowPunct/>
        <w:topLinePunct w:val="0"/>
        <w:autoSpaceDE/>
        <w:autoSpaceDN/>
        <w:bidi w:val="0"/>
        <w:adjustRightInd/>
        <w:snapToGrid/>
        <w:spacing w:line="360" w:lineRule="auto"/>
        <w:ind w:left="0" w:firstLine="482"/>
        <w:jc w:val="both"/>
        <w:textAlignment w:val="auto"/>
        <w:outlineLvl w:val="9"/>
        <w:rPr>
          <w:rFonts w:hint="eastAsia"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2.投标（响应）报价低于采购项目最高限价45%的，即投标（响应）报价〈采购项目最高限价×45%；</w:t>
      </w:r>
    </w:p>
    <w:p w14:paraId="56475DCA">
      <w:pPr>
        <w:keepNext w:val="0"/>
        <w:keepLines w:val="0"/>
        <w:pageBreakBefore w:val="0"/>
        <w:widowControl w:val="0"/>
        <w:tabs>
          <w:tab w:val="left" w:pos="840"/>
          <w:tab w:val="left" w:pos="1050"/>
        </w:tabs>
        <w:kinsoku/>
        <w:wordWrap/>
        <w:overflowPunct/>
        <w:topLinePunct w:val="0"/>
        <w:autoSpaceDE/>
        <w:autoSpaceDN/>
        <w:bidi w:val="0"/>
        <w:adjustRightInd/>
        <w:snapToGrid/>
        <w:spacing w:line="360" w:lineRule="auto"/>
        <w:ind w:left="0" w:firstLine="482"/>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cs="宋体"/>
          <w:b/>
          <w:color w:val="auto"/>
          <w:sz w:val="24"/>
          <w:szCs w:val="24"/>
          <w:highlight w:val="none"/>
          <w:lang w:eastAsia="zh-CN"/>
        </w:rPr>
        <w:t>3.评审委员会认定的供应商报价过低、有可能影响产品质量或者不能诚信履约的其他情形。</w:t>
      </w:r>
    </w:p>
    <w:p w14:paraId="5A40B148">
      <w:pPr>
        <w:keepNext w:val="0"/>
        <w:keepLines w:val="0"/>
        <w:pageBreakBefore w:val="0"/>
        <w:widowControl w:val="0"/>
        <w:kinsoku/>
        <w:wordWrap/>
        <w:overflowPunct/>
        <w:topLinePunct w:val="0"/>
        <w:autoSpaceDE/>
        <w:autoSpaceDN/>
        <w:bidi w:val="0"/>
        <w:adjustRightInd/>
        <w:snapToGrid/>
        <w:spacing w:line="360" w:lineRule="auto"/>
        <w:ind w:right="0" w:firstLine="480"/>
        <w:jc w:val="left"/>
        <w:textAlignment w:val="auto"/>
        <w:outlineLvl w:val="9"/>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2.</w:t>
      </w:r>
      <w:r>
        <w:rPr>
          <w:rFonts w:hint="eastAsia" w:ascii="宋体" w:hAnsi="宋体" w:eastAsia="宋体" w:cs="宋体"/>
          <w:b/>
          <w:bCs/>
          <w:color w:val="auto"/>
          <w:sz w:val="24"/>
          <w:szCs w:val="24"/>
          <w:highlight w:val="none"/>
        </w:rPr>
        <w:t>商务部分（18分）</w:t>
      </w:r>
    </w:p>
    <w:p w14:paraId="5A1696F0">
      <w:pPr>
        <w:keepNext w:val="0"/>
        <w:keepLines w:val="0"/>
        <w:pageBreakBefore w:val="0"/>
        <w:widowControl w:val="0"/>
        <w:kinsoku/>
        <w:wordWrap/>
        <w:overflowPunct/>
        <w:topLinePunct w:val="0"/>
        <w:autoSpaceDE/>
        <w:autoSpaceDN/>
        <w:bidi w:val="0"/>
        <w:adjustRightInd/>
        <w:snapToGrid/>
        <w:spacing w:line="360" w:lineRule="auto"/>
        <w:ind w:right="0" w:firstLine="48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企业实力（3分）：投标人具有有效期内的质量管理体系认证证书、环境质量管理体系认证证书、职业健康安全管理体系认证证书，有1个得1分，本项最高得3分。（提供有效证书原件彩色扫描件加盖投标供应商电子公章上传至投标文件中，不提供不得分）</w:t>
      </w:r>
    </w:p>
    <w:p w14:paraId="309B664A">
      <w:pPr>
        <w:keepNext w:val="0"/>
        <w:keepLines w:val="0"/>
        <w:pageBreakBefore w:val="0"/>
        <w:widowControl w:val="0"/>
        <w:kinsoku/>
        <w:wordWrap/>
        <w:overflowPunct/>
        <w:topLinePunct w:val="0"/>
        <w:autoSpaceDE/>
        <w:autoSpaceDN/>
        <w:bidi w:val="0"/>
        <w:adjustRightInd/>
        <w:snapToGrid/>
        <w:spacing w:line="360" w:lineRule="auto"/>
        <w:ind w:right="0" w:firstLine="48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2.2企业业绩（2分）：投标人自2022年1月1日以来，具有同类项目业绩（包括特种设备排查或食品安全排查）的，有一项得1分，本项最多得2分。（业绩时间以合同签订时间为准，合同原件彩色扫描件加盖投标供应商电子公章上传至投标文件中，不提供不得分）</w:t>
      </w:r>
    </w:p>
    <w:p w14:paraId="0CD367B3">
      <w:pPr>
        <w:keepNext w:val="0"/>
        <w:keepLines w:val="0"/>
        <w:pageBreakBefore w:val="0"/>
        <w:widowControl w:val="0"/>
        <w:kinsoku/>
        <w:wordWrap/>
        <w:overflowPunct/>
        <w:topLinePunct w:val="0"/>
        <w:autoSpaceDE/>
        <w:autoSpaceDN/>
        <w:bidi w:val="0"/>
        <w:adjustRightInd/>
        <w:snapToGrid/>
        <w:spacing w:line="360" w:lineRule="auto"/>
        <w:ind w:right="0" w:firstLine="48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2.3项目组人员配备（10分）：</w:t>
      </w:r>
    </w:p>
    <w:p w14:paraId="242E83E6">
      <w:pPr>
        <w:keepNext w:val="0"/>
        <w:keepLines w:val="0"/>
        <w:pageBreakBefore w:val="0"/>
        <w:widowControl w:val="0"/>
        <w:kinsoku/>
        <w:wordWrap/>
        <w:overflowPunct/>
        <w:topLinePunct w:val="0"/>
        <w:autoSpaceDE/>
        <w:autoSpaceDN/>
        <w:bidi w:val="0"/>
        <w:adjustRightInd/>
        <w:snapToGrid/>
        <w:spacing w:line="360" w:lineRule="auto"/>
        <w:ind w:right="0" w:firstLine="48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1）拟派项目负责人（4分）：具有行政主管部门颁发的注册安全工程师证书的得2分，具有行政主管部门颁发的特种设备安全管理和作业人员证得2分，本项最高得4分。</w:t>
      </w:r>
    </w:p>
    <w:p w14:paraId="6F28F488">
      <w:pPr>
        <w:keepNext w:val="0"/>
        <w:keepLines w:val="0"/>
        <w:pageBreakBefore w:val="0"/>
        <w:widowControl w:val="0"/>
        <w:kinsoku/>
        <w:wordWrap/>
        <w:overflowPunct/>
        <w:topLinePunct w:val="0"/>
        <w:autoSpaceDE/>
        <w:autoSpaceDN/>
        <w:bidi w:val="0"/>
        <w:adjustRightInd/>
        <w:snapToGrid/>
        <w:spacing w:line="360" w:lineRule="auto"/>
        <w:ind w:right="0" w:firstLine="48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2）拟派除项目负责人以外的其他人员（6分）：具有行政主管部门颁发的特种设备安全管理和作业人员证，有一名得1分，最多6分。</w:t>
      </w:r>
    </w:p>
    <w:p w14:paraId="389EE4C5">
      <w:pPr>
        <w:keepNext w:val="0"/>
        <w:keepLines w:val="0"/>
        <w:pageBreakBefore w:val="0"/>
        <w:widowControl w:val="0"/>
        <w:kinsoku/>
        <w:wordWrap/>
        <w:overflowPunct/>
        <w:topLinePunct w:val="0"/>
        <w:autoSpaceDE/>
        <w:autoSpaceDN/>
        <w:bidi w:val="0"/>
        <w:adjustRightInd/>
        <w:snapToGrid/>
        <w:spacing w:line="360" w:lineRule="auto"/>
        <w:ind w:right="0" w:firstLine="48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（投标时提供上述人员有效证书，上述资料原件彩色扫描件加盖投标供应商电子公章上传至投标文件中，无扫描件不得分）</w:t>
      </w:r>
    </w:p>
    <w:p w14:paraId="487A03F4">
      <w:pPr>
        <w:keepNext w:val="0"/>
        <w:keepLines w:val="0"/>
        <w:pageBreakBefore w:val="0"/>
        <w:widowControl w:val="0"/>
        <w:kinsoku/>
        <w:wordWrap/>
        <w:overflowPunct/>
        <w:topLinePunct w:val="0"/>
        <w:autoSpaceDE/>
        <w:autoSpaceDN/>
        <w:bidi w:val="0"/>
        <w:adjustRightInd/>
        <w:snapToGrid/>
        <w:spacing w:line="360" w:lineRule="auto"/>
        <w:ind w:right="0" w:firstLine="48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2.4服务保障承诺（3分）</w:t>
      </w:r>
    </w:p>
    <w:p w14:paraId="7A33CF05">
      <w:pPr>
        <w:keepNext w:val="0"/>
        <w:keepLines w:val="0"/>
        <w:pageBreakBefore w:val="0"/>
        <w:widowControl w:val="0"/>
        <w:kinsoku/>
        <w:wordWrap/>
        <w:overflowPunct/>
        <w:topLinePunct w:val="0"/>
        <w:autoSpaceDE/>
        <w:autoSpaceDN/>
        <w:bidi w:val="0"/>
        <w:adjustRightInd/>
        <w:snapToGrid/>
        <w:spacing w:line="360" w:lineRule="auto"/>
        <w:ind w:right="0" w:firstLine="48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投标人须提供本项目的服务保障承诺：</w:t>
      </w:r>
    </w:p>
    <w:p w14:paraId="6B19404B">
      <w:pPr>
        <w:keepNext w:val="0"/>
        <w:keepLines w:val="0"/>
        <w:pageBreakBefore w:val="0"/>
        <w:widowControl w:val="0"/>
        <w:kinsoku/>
        <w:wordWrap/>
        <w:overflowPunct/>
        <w:topLinePunct w:val="0"/>
        <w:autoSpaceDE/>
        <w:autoSpaceDN/>
        <w:bidi w:val="0"/>
        <w:adjustRightInd/>
        <w:snapToGrid/>
        <w:spacing w:line="360" w:lineRule="auto"/>
        <w:ind w:right="0" w:firstLine="48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在接到采购方电话通知后0.5小时内到达现场，一般问题1小时内解决，最长不超过12小时解决问题的得3分；</w:t>
      </w:r>
    </w:p>
    <w:p w14:paraId="2C592D25">
      <w:pPr>
        <w:keepNext w:val="0"/>
        <w:keepLines w:val="0"/>
        <w:pageBreakBefore w:val="0"/>
        <w:widowControl w:val="0"/>
        <w:kinsoku/>
        <w:wordWrap/>
        <w:overflowPunct/>
        <w:topLinePunct w:val="0"/>
        <w:autoSpaceDE/>
        <w:autoSpaceDN/>
        <w:bidi w:val="0"/>
        <w:adjustRightInd/>
        <w:snapToGrid/>
        <w:spacing w:line="360" w:lineRule="auto"/>
        <w:ind w:right="0" w:firstLine="48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在接到采购方电话通知后3小时内到达现场，一般问题2小时内解决，最长不超过12小时解决问题的得2分；</w:t>
      </w:r>
    </w:p>
    <w:p w14:paraId="1F88F6F5">
      <w:pPr>
        <w:keepNext w:val="0"/>
        <w:keepLines w:val="0"/>
        <w:pageBreakBefore w:val="0"/>
        <w:widowControl w:val="0"/>
        <w:kinsoku/>
        <w:wordWrap/>
        <w:overflowPunct/>
        <w:topLinePunct w:val="0"/>
        <w:autoSpaceDE/>
        <w:autoSpaceDN/>
        <w:bidi w:val="0"/>
        <w:adjustRightInd/>
        <w:snapToGrid/>
        <w:spacing w:line="360" w:lineRule="auto"/>
        <w:ind w:right="0" w:firstLine="48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在接到采购方电话通知后6小时内到达现场，一般问题4小时内解决，最长不超过12小时解决问题的得1分；</w:t>
      </w:r>
    </w:p>
    <w:p w14:paraId="6B0ED16D">
      <w:pPr>
        <w:keepNext w:val="0"/>
        <w:keepLines w:val="0"/>
        <w:pageBreakBefore w:val="0"/>
        <w:widowControl w:val="0"/>
        <w:kinsoku/>
        <w:wordWrap/>
        <w:overflowPunct/>
        <w:topLinePunct w:val="0"/>
        <w:autoSpaceDE/>
        <w:autoSpaceDN/>
        <w:bidi w:val="0"/>
        <w:adjustRightInd/>
        <w:snapToGrid/>
        <w:spacing w:line="360" w:lineRule="auto"/>
        <w:ind w:right="0" w:firstLine="48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本项最高得3分。【提供承诺书（格式自拟）扫描件加盖投标供应商电子公章上传至投标文件中，未按要求提供不得分】</w:t>
      </w:r>
    </w:p>
    <w:p w14:paraId="0DD6D45C">
      <w:pPr>
        <w:keepNext w:val="0"/>
        <w:keepLines w:val="0"/>
        <w:widowControl w:val="0"/>
        <w:suppressLineNumbers w:val="0"/>
        <w:spacing w:before="0" w:beforeAutospacing="0" w:after="0" w:afterAutospacing="0" w:line="360" w:lineRule="auto"/>
        <w:ind w:left="0" w:right="0" w:firstLine="482" w:firstLineChars="200"/>
        <w:jc w:val="left"/>
        <w:rPr>
          <w:rFonts w:hint="eastAsia" w:ascii="宋体" w:hAnsi="宋体" w:eastAsia="宋体" w:cs="宋体"/>
          <w:b/>
          <w:bCs w:val="0"/>
          <w:color w:val="auto"/>
          <w:sz w:val="24"/>
          <w:szCs w:val="24"/>
          <w:highlight w:val="none"/>
        </w:rPr>
      </w:pPr>
      <w:r>
        <w:rPr>
          <w:rFonts w:hint="eastAsia" w:ascii="宋体" w:hAnsi="宋体" w:cs="宋体"/>
          <w:b/>
          <w:bCs w:val="0"/>
          <w:color w:val="auto"/>
          <w:kern w:val="0"/>
          <w:sz w:val="24"/>
          <w:szCs w:val="24"/>
          <w:highlight w:val="none"/>
          <w:lang w:val="en-US" w:eastAsia="zh-CN" w:bidi="ar"/>
        </w:rPr>
        <w:t>3.</w:t>
      </w:r>
      <w:r>
        <w:rPr>
          <w:rFonts w:hint="eastAsia" w:ascii="宋体" w:hAnsi="宋体" w:eastAsia="宋体" w:cs="宋体"/>
          <w:b/>
          <w:bCs w:val="0"/>
          <w:color w:val="auto"/>
          <w:kern w:val="0"/>
          <w:sz w:val="24"/>
          <w:szCs w:val="24"/>
          <w:highlight w:val="none"/>
          <w:lang w:val="en-US" w:eastAsia="zh-CN" w:bidi="ar"/>
        </w:rPr>
        <w:t>技术文件</w:t>
      </w:r>
    </w:p>
    <w:p w14:paraId="6CBBA7D6">
      <w:pPr>
        <w:keepNext w:val="0"/>
        <w:keepLines w:val="0"/>
        <w:widowControl w:val="0"/>
        <w:suppressLineNumbers w:val="0"/>
        <w:spacing w:before="0" w:beforeAutospacing="0" w:after="0" w:afterAutospacing="0" w:line="360" w:lineRule="auto"/>
        <w:ind w:left="0" w:right="0" w:firstLine="482" w:firstLineChars="200"/>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kern w:val="0"/>
          <w:sz w:val="24"/>
          <w:szCs w:val="24"/>
          <w:highlight w:val="none"/>
          <w:lang w:val="en-US" w:eastAsia="zh-CN" w:bidi="ar"/>
        </w:rPr>
        <w:t>1）根据本项目的需求，提供详细的服务开展计划书（10分）</w:t>
      </w:r>
    </w:p>
    <w:p w14:paraId="06FB0278">
      <w:pPr>
        <w:keepNext w:val="0"/>
        <w:keepLines w:val="0"/>
        <w:widowControl w:val="0"/>
        <w:suppressLineNumbers w:val="0"/>
        <w:spacing w:before="0" w:beforeAutospacing="0" w:after="0" w:afterAutospacing="0" w:line="360" w:lineRule="auto"/>
        <w:ind w:left="0" w:right="0" w:firstLine="480"/>
        <w:jc w:val="both"/>
        <w:rPr>
          <w:rFonts w:hint="eastAsia" w:ascii="Times New Roman"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内容包括：①项目实施状况分析；②服务开展的目标和整体设想③项目实施过程中重点难点分析；④日常巡查制度措施；⑤其他相关制度措施。</w:t>
      </w:r>
    </w:p>
    <w:p w14:paraId="59917DF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方案完整、科学合理，设计清晰详细，完全符合本项目需求，且能够提供上述5项全部方案的，得10分；</w:t>
      </w:r>
    </w:p>
    <w:p w14:paraId="21C8C8A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方案相对完整，科学合理性相</w:t>
      </w:r>
      <w:r>
        <w:rPr>
          <w:rFonts w:hint="eastAsia" w:ascii="宋体" w:hAnsi="宋体" w:cs="宋体"/>
          <w:bCs/>
          <w:color w:val="auto"/>
          <w:kern w:val="0"/>
          <w:sz w:val="24"/>
          <w:szCs w:val="24"/>
          <w:highlight w:val="none"/>
          <w:lang w:val="en-US" w:eastAsia="zh-CN" w:bidi="ar"/>
        </w:rPr>
        <w:t>对较</w:t>
      </w:r>
      <w:r>
        <w:rPr>
          <w:rFonts w:hint="eastAsia" w:ascii="宋体" w:hAnsi="宋体" w:eastAsia="宋体" w:cs="宋体"/>
          <w:bCs/>
          <w:color w:val="auto"/>
          <w:kern w:val="0"/>
          <w:sz w:val="24"/>
          <w:szCs w:val="24"/>
          <w:highlight w:val="none"/>
          <w:lang w:val="en-US" w:eastAsia="zh-CN" w:bidi="ar"/>
        </w:rPr>
        <w:t>强，设计相对清晰详细，能够符合本项目需求，能够提供上述4-5项方案的，得8分；</w:t>
      </w:r>
    </w:p>
    <w:p w14:paraId="3FFF743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方案完整性一般，科学合理性一般，设计清晰详细程度一般，能够符合本项目需求，能够提供上述3-5项方案的，得6分；</w:t>
      </w:r>
    </w:p>
    <w:p w14:paraId="4CD9EA2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方案完整性、科学合理性、设计的清晰详细程度等只能基本满足要求，能够提供上述2-5项方案的，得4分；</w:t>
      </w:r>
    </w:p>
    <w:p w14:paraId="3054453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提供方案不足2项或无方案的，不得分。</w:t>
      </w:r>
    </w:p>
    <w:p w14:paraId="20E322D8">
      <w:pPr>
        <w:keepNext w:val="0"/>
        <w:keepLines w:val="0"/>
        <w:widowControl w:val="0"/>
        <w:suppressLineNumbers w:val="0"/>
        <w:tabs>
          <w:tab w:val="left" w:pos="525"/>
          <w:tab w:val="left" w:pos="1155"/>
          <w:tab w:val="left" w:pos="1260"/>
          <w:tab w:val="left" w:pos="1680"/>
        </w:tabs>
        <w:spacing w:before="0" w:beforeAutospacing="0" w:after="0" w:afterAutospacing="0" w:line="360" w:lineRule="auto"/>
        <w:ind w:left="0" w:right="0"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kern w:val="0"/>
          <w:sz w:val="24"/>
          <w:szCs w:val="24"/>
          <w:highlight w:val="none"/>
          <w:lang w:val="en-US" w:eastAsia="zh-CN" w:bidi="ar"/>
        </w:rPr>
        <w:t>2）针对日常监管、特种设备风险隐患、“一户一档”的动态管理（9分）</w:t>
      </w:r>
    </w:p>
    <w:p w14:paraId="57328DA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内容包括：①日常监管；②特种设备风险隐患及相关方案；③“一户一档”的动态管理。</w:t>
      </w:r>
    </w:p>
    <w:p w14:paraId="12A2672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方案完整、科学合理，设计清晰详细，完全符合本项目需求，且能够提供上述3项全部方案的，得9分；</w:t>
      </w:r>
    </w:p>
    <w:p w14:paraId="318E9D2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方案相对完整，科学合理性相</w:t>
      </w:r>
      <w:r>
        <w:rPr>
          <w:rFonts w:hint="eastAsia" w:ascii="宋体" w:hAnsi="宋体" w:cs="宋体"/>
          <w:bCs/>
          <w:color w:val="auto"/>
          <w:kern w:val="0"/>
          <w:sz w:val="24"/>
          <w:szCs w:val="24"/>
          <w:highlight w:val="none"/>
          <w:lang w:val="en-US" w:eastAsia="zh-CN" w:bidi="ar"/>
        </w:rPr>
        <w:t>对较</w:t>
      </w:r>
      <w:r>
        <w:rPr>
          <w:rFonts w:hint="eastAsia" w:ascii="宋体" w:hAnsi="宋体" w:eastAsia="宋体" w:cs="宋体"/>
          <w:bCs/>
          <w:color w:val="auto"/>
          <w:kern w:val="0"/>
          <w:sz w:val="24"/>
          <w:szCs w:val="24"/>
          <w:highlight w:val="none"/>
          <w:lang w:val="en-US" w:eastAsia="zh-CN" w:bidi="ar"/>
        </w:rPr>
        <w:t>强，设计相对清晰，能够符合本项目需求，能够提供上述3项方案的，得7分；</w:t>
      </w:r>
    </w:p>
    <w:p w14:paraId="6CB92D0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方案完整性一般，科学合理性一般，设计清晰详细程度一般，能够符合本项目需求，能够提供上述2-3项方案的，得5分；</w:t>
      </w:r>
    </w:p>
    <w:p w14:paraId="08B584A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方案完整性、科学合理性、设计的清晰详细程度等只能基本满足要求，能够提供上述2-3项方案的，得3分；</w:t>
      </w:r>
    </w:p>
    <w:p w14:paraId="2E877D0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提供方案不足2项或无方案的，不得分。</w:t>
      </w:r>
    </w:p>
    <w:p w14:paraId="047A69E7">
      <w:pPr>
        <w:keepNext w:val="0"/>
        <w:keepLines w:val="0"/>
        <w:widowControl w:val="0"/>
        <w:suppressLineNumbers w:val="0"/>
        <w:tabs>
          <w:tab w:val="left" w:pos="525"/>
          <w:tab w:val="left" w:pos="1155"/>
          <w:tab w:val="left" w:pos="1260"/>
          <w:tab w:val="left" w:pos="1680"/>
        </w:tabs>
        <w:spacing w:before="0" w:beforeAutospacing="0" w:after="0" w:afterAutospacing="0" w:line="360" w:lineRule="auto"/>
        <w:ind w:left="0" w:right="0"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kern w:val="0"/>
          <w:sz w:val="24"/>
          <w:szCs w:val="24"/>
          <w:highlight w:val="none"/>
          <w:lang w:val="en-US" w:eastAsia="zh-CN" w:bidi="ar"/>
        </w:rPr>
        <w:t>3）特种设备监管分级管控、线上线下联动管控、服务环境等制定切实可行的实施方案（9分）</w:t>
      </w:r>
    </w:p>
    <w:p w14:paraId="5805A31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内容包括：①特种设备监管分级管控实施方案；②线上线下联动管控实施方案；③服务环境实施方案。</w:t>
      </w:r>
    </w:p>
    <w:p w14:paraId="5036FDD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方案完整、科学合理，设计清晰详细，完全符合本项目需求，且能够提供上述3项全部方案的，得9分；</w:t>
      </w:r>
    </w:p>
    <w:p w14:paraId="0F8A248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方案相对完整，科学合理性相</w:t>
      </w:r>
      <w:r>
        <w:rPr>
          <w:rFonts w:hint="eastAsia" w:ascii="宋体" w:hAnsi="宋体" w:cs="宋体"/>
          <w:bCs/>
          <w:color w:val="auto"/>
          <w:kern w:val="0"/>
          <w:sz w:val="24"/>
          <w:szCs w:val="24"/>
          <w:highlight w:val="none"/>
          <w:lang w:val="en-US" w:eastAsia="zh-CN" w:bidi="ar"/>
        </w:rPr>
        <w:t>对较</w:t>
      </w:r>
      <w:r>
        <w:rPr>
          <w:rFonts w:hint="eastAsia" w:ascii="宋体" w:hAnsi="宋体" w:eastAsia="宋体" w:cs="宋体"/>
          <w:bCs/>
          <w:color w:val="auto"/>
          <w:kern w:val="0"/>
          <w:sz w:val="24"/>
          <w:szCs w:val="24"/>
          <w:highlight w:val="none"/>
          <w:lang w:val="en-US" w:eastAsia="zh-CN" w:bidi="ar"/>
        </w:rPr>
        <w:t>强，设计相对清晰，能够符合本项目需求，能够提供上述3项方案的，得7分；</w:t>
      </w:r>
    </w:p>
    <w:p w14:paraId="5FB7368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方案完整性一般，科学合理性一般，设计清晰详细程度一般，能够符合本项目需求，能够提供上述2-3项方案的，得5分；</w:t>
      </w:r>
    </w:p>
    <w:p w14:paraId="2F454A3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方案完整性、科学合理性、设计的清晰详细程度等只能基本满足要求，能够提供上述2-3项方案的，得3分；</w:t>
      </w:r>
    </w:p>
    <w:p w14:paraId="4ACD56F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提供方案不足2项或无方案的，不得分。</w:t>
      </w:r>
    </w:p>
    <w:p w14:paraId="6A349C78">
      <w:pPr>
        <w:keepNext w:val="0"/>
        <w:keepLines w:val="0"/>
        <w:widowControl w:val="0"/>
        <w:numPr>
          <w:ilvl w:val="0"/>
          <w:numId w:val="4"/>
        </w:numPr>
        <w:suppressLineNumbers w:val="0"/>
        <w:tabs>
          <w:tab w:val="left" w:pos="525"/>
          <w:tab w:val="left" w:pos="1155"/>
          <w:tab w:val="left" w:pos="1260"/>
          <w:tab w:val="left" w:pos="1680"/>
        </w:tabs>
        <w:spacing w:before="0" w:beforeAutospacing="0" w:after="0" w:afterAutospacing="0" w:line="360" w:lineRule="auto"/>
        <w:ind w:left="0" w:right="0"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kern w:val="0"/>
          <w:sz w:val="24"/>
          <w:szCs w:val="24"/>
          <w:highlight w:val="none"/>
          <w:lang w:val="en-US" w:eastAsia="zh-CN" w:bidi="ar"/>
        </w:rPr>
        <w:t>宣传方案（6分）</w:t>
      </w:r>
    </w:p>
    <w:p w14:paraId="5C71629D">
      <w:pPr>
        <w:keepNext w:val="0"/>
        <w:keepLines w:val="0"/>
        <w:widowControl w:val="0"/>
        <w:suppressLineNumbers w:val="0"/>
        <w:tabs>
          <w:tab w:val="left" w:pos="525"/>
          <w:tab w:val="left" w:pos="1155"/>
          <w:tab w:val="left" w:pos="1260"/>
          <w:tab w:val="left" w:pos="1680"/>
        </w:tabs>
        <w:spacing w:before="0" w:beforeAutospacing="0" w:after="0" w:afterAutospacing="0" w:line="360" w:lineRule="auto"/>
        <w:ind w:left="0" w:right="0" w:firstLine="480" w:firstLineChars="200"/>
        <w:jc w:val="both"/>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内容包括：①结合本区实际情况提出的宣传推广；②结合本区实际情况提出的方案运行；③结合本区实际情况提出的投入培训表述。</w:t>
      </w:r>
    </w:p>
    <w:p w14:paraId="686CAC7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方案完整、科学合理，设计清晰详细，完全符合本项目需求，且能够提供上述3项全部方案的，得6分；</w:t>
      </w:r>
    </w:p>
    <w:p w14:paraId="480B95A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方案相对完整，科学合理性相</w:t>
      </w:r>
      <w:r>
        <w:rPr>
          <w:rFonts w:hint="eastAsia" w:ascii="宋体" w:hAnsi="宋体" w:cs="宋体"/>
          <w:bCs/>
          <w:color w:val="auto"/>
          <w:kern w:val="0"/>
          <w:sz w:val="24"/>
          <w:szCs w:val="24"/>
          <w:highlight w:val="none"/>
          <w:lang w:val="en-US" w:eastAsia="zh-CN" w:bidi="ar"/>
        </w:rPr>
        <w:t>对较</w:t>
      </w:r>
      <w:r>
        <w:rPr>
          <w:rFonts w:hint="eastAsia" w:ascii="宋体" w:hAnsi="宋体" w:eastAsia="宋体" w:cs="宋体"/>
          <w:bCs/>
          <w:color w:val="auto"/>
          <w:kern w:val="0"/>
          <w:sz w:val="24"/>
          <w:szCs w:val="24"/>
          <w:highlight w:val="none"/>
          <w:lang w:val="en-US" w:eastAsia="zh-CN" w:bidi="ar"/>
        </w:rPr>
        <w:t>强，设计相对清晰，能够符合本项目需求，能够提供上述3项方案的，得4分；</w:t>
      </w:r>
    </w:p>
    <w:p w14:paraId="186E505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方案完整性一般，科学合理性一般，设计清晰详细程度一般，能够符合本项目需求，能够提供上述2-3项方案的，得2分；</w:t>
      </w:r>
    </w:p>
    <w:p w14:paraId="685ADE1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方案完整性、科学合理性、设计的清晰详细程度等只能基本满足要求，能够提供上述2-3项方案的，得1分；</w:t>
      </w:r>
    </w:p>
    <w:p w14:paraId="275E84F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提供方案不足2项或无方案的，不得分。</w:t>
      </w:r>
    </w:p>
    <w:p w14:paraId="26919B43">
      <w:pPr>
        <w:keepNext w:val="0"/>
        <w:keepLines w:val="0"/>
        <w:widowControl w:val="0"/>
        <w:numPr>
          <w:ilvl w:val="0"/>
          <w:numId w:val="4"/>
        </w:numPr>
        <w:suppressLineNumbers w:val="0"/>
        <w:tabs>
          <w:tab w:val="left" w:pos="525"/>
          <w:tab w:val="left" w:pos="1155"/>
          <w:tab w:val="left" w:pos="1260"/>
          <w:tab w:val="left" w:pos="1680"/>
        </w:tabs>
        <w:spacing w:before="0" w:beforeAutospacing="0" w:after="0" w:afterAutospacing="0" w:line="360" w:lineRule="auto"/>
        <w:ind w:left="0" w:leftChars="0" w:right="0" w:firstLine="482" w:firstLineChars="0"/>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kern w:val="0"/>
          <w:sz w:val="24"/>
          <w:szCs w:val="24"/>
          <w:highlight w:val="none"/>
          <w:lang w:val="en-US" w:eastAsia="zh-CN" w:bidi="ar"/>
        </w:rPr>
        <w:t>食品安全及特种设备监管（6分）</w:t>
      </w:r>
    </w:p>
    <w:p w14:paraId="6CFA162F">
      <w:pPr>
        <w:keepNext w:val="0"/>
        <w:keepLines w:val="0"/>
        <w:widowControl w:val="0"/>
        <w:suppressLineNumbers w:val="0"/>
        <w:tabs>
          <w:tab w:val="left" w:pos="525"/>
          <w:tab w:val="left" w:pos="1155"/>
          <w:tab w:val="left" w:pos="1260"/>
          <w:tab w:val="left" w:pos="1680"/>
        </w:tabs>
        <w:spacing w:before="0" w:beforeAutospacing="0" w:after="0" w:afterAutospacing="0" w:line="360" w:lineRule="auto"/>
        <w:ind w:left="482" w:leftChars="0" w:right="0"/>
        <w:jc w:val="both"/>
        <w:rPr>
          <w:rFonts w:hint="eastAsia" w:ascii="宋体" w:hAnsi="宋体" w:eastAsia="宋体" w:cs="宋体"/>
          <w:b/>
          <w:bCs w:val="0"/>
          <w:color w:val="auto"/>
          <w:sz w:val="24"/>
          <w:szCs w:val="24"/>
          <w:highlight w:val="none"/>
        </w:rPr>
      </w:pPr>
      <w:r>
        <w:rPr>
          <w:rFonts w:hint="eastAsia" w:ascii="宋体" w:hAnsi="宋体" w:eastAsia="宋体" w:cs="宋体"/>
          <w:bCs/>
          <w:color w:val="auto"/>
          <w:kern w:val="0"/>
          <w:sz w:val="24"/>
          <w:szCs w:val="24"/>
          <w:highlight w:val="none"/>
          <w:lang w:val="en-US" w:eastAsia="zh-CN" w:bidi="ar"/>
        </w:rPr>
        <w:t>内容包括：①分级管控实施方案；②线上线下联动管控实施方案；③服务环境实施方案。</w:t>
      </w:r>
    </w:p>
    <w:p w14:paraId="40FB796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方案完整、科学合理，设计清晰详细，完全符合本项目需求，且能够提供上述3项全部方案的，得6分；</w:t>
      </w:r>
    </w:p>
    <w:p w14:paraId="3033D10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方案相对完整，科学合理性相</w:t>
      </w:r>
      <w:r>
        <w:rPr>
          <w:rFonts w:hint="eastAsia" w:ascii="宋体" w:hAnsi="宋体" w:cs="宋体"/>
          <w:bCs/>
          <w:color w:val="auto"/>
          <w:kern w:val="0"/>
          <w:sz w:val="24"/>
          <w:szCs w:val="24"/>
          <w:highlight w:val="none"/>
          <w:lang w:val="en-US" w:eastAsia="zh-CN" w:bidi="ar"/>
        </w:rPr>
        <w:t>对较</w:t>
      </w:r>
      <w:r>
        <w:rPr>
          <w:rFonts w:hint="eastAsia" w:ascii="宋体" w:hAnsi="宋体" w:eastAsia="宋体" w:cs="宋体"/>
          <w:bCs/>
          <w:color w:val="auto"/>
          <w:kern w:val="0"/>
          <w:sz w:val="24"/>
          <w:szCs w:val="24"/>
          <w:highlight w:val="none"/>
          <w:lang w:val="en-US" w:eastAsia="zh-CN" w:bidi="ar"/>
        </w:rPr>
        <w:t>强，设计相对清晰，能够符合本项目需求，能够提供上述3项方案的，得4分；</w:t>
      </w:r>
    </w:p>
    <w:p w14:paraId="5617EDD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方案完整性一般，科学合理性一般，设计清晰详细程度一般，能够符合本项目需求，能够提供上述2-3项方案的，得2分；</w:t>
      </w:r>
    </w:p>
    <w:p w14:paraId="5670D19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方案完整性、科学合理性、设计的清晰详细程度等只能基本满足要求，能够提供上述2-3项方案的，得1分；</w:t>
      </w:r>
    </w:p>
    <w:p w14:paraId="6ED0437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提供方案不足2项或无方案的，不得分。</w:t>
      </w:r>
    </w:p>
    <w:p w14:paraId="20282C08">
      <w:pPr>
        <w:keepNext w:val="0"/>
        <w:keepLines w:val="0"/>
        <w:widowControl w:val="0"/>
        <w:suppressLineNumbers w:val="0"/>
        <w:tabs>
          <w:tab w:val="left" w:pos="525"/>
          <w:tab w:val="left" w:pos="1155"/>
          <w:tab w:val="left" w:pos="1260"/>
          <w:tab w:val="left" w:pos="1680"/>
        </w:tabs>
        <w:spacing w:before="0" w:beforeAutospacing="0" w:after="0" w:afterAutospacing="0" w:line="360" w:lineRule="auto"/>
        <w:ind w:left="0" w:right="0"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kern w:val="0"/>
          <w:sz w:val="24"/>
          <w:szCs w:val="24"/>
          <w:highlight w:val="none"/>
          <w:lang w:val="en-US" w:eastAsia="zh-CN" w:bidi="ar"/>
        </w:rPr>
        <w:t>6）服务质量承诺及保证措施（6分）：</w:t>
      </w:r>
    </w:p>
    <w:p w14:paraId="6276531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内容包括：①服务质量承诺；②服务质量保证措施；③其他保证措施。</w:t>
      </w:r>
    </w:p>
    <w:p w14:paraId="0EDB9B4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方案完整、科学合理，设计清晰详细，完全符合本项目需求，且能够提供上述3项全部方案的，得6分；</w:t>
      </w:r>
    </w:p>
    <w:p w14:paraId="74A157A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方案相对完整，科学合理性相</w:t>
      </w:r>
      <w:r>
        <w:rPr>
          <w:rFonts w:hint="eastAsia" w:ascii="宋体" w:hAnsi="宋体" w:cs="宋体"/>
          <w:bCs/>
          <w:color w:val="auto"/>
          <w:kern w:val="0"/>
          <w:sz w:val="24"/>
          <w:szCs w:val="24"/>
          <w:highlight w:val="none"/>
          <w:lang w:val="en-US" w:eastAsia="zh-CN" w:bidi="ar"/>
        </w:rPr>
        <w:t>对较</w:t>
      </w:r>
      <w:r>
        <w:rPr>
          <w:rFonts w:hint="eastAsia" w:ascii="宋体" w:hAnsi="宋体" w:eastAsia="宋体" w:cs="宋体"/>
          <w:bCs/>
          <w:color w:val="auto"/>
          <w:kern w:val="0"/>
          <w:sz w:val="24"/>
          <w:szCs w:val="24"/>
          <w:highlight w:val="none"/>
          <w:lang w:val="en-US" w:eastAsia="zh-CN" w:bidi="ar"/>
        </w:rPr>
        <w:t>强，设计相对清晰，能够符合本项目需求，能够提供上述3项方案的，得4分；</w:t>
      </w:r>
    </w:p>
    <w:p w14:paraId="55D74C2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方案完整性一般，科学合理性一般，设计清晰详细程度一般，能够符合本项目需求，能够提供上述2-3项方案的，得2分；</w:t>
      </w:r>
    </w:p>
    <w:p w14:paraId="7E28E30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方案完整性、科学合理性、设计的清晰详细程度等只能基本满足要求，能够提供上述2-3项方案的，得1分；</w:t>
      </w:r>
    </w:p>
    <w:p w14:paraId="527B998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提供方案不足2项或无方案的，不得分。</w:t>
      </w:r>
    </w:p>
    <w:p w14:paraId="2E0A5645">
      <w:pPr>
        <w:keepNext w:val="0"/>
        <w:keepLines w:val="0"/>
        <w:widowControl w:val="0"/>
        <w:numPr>
          <w:ilvl w:val="0"/>
          <w:numId w:val="4"/>
        </w:numPr>
        <w:suppressLineNumbers w:val="0"/>
        <w:tabs>
          <w:tab w:val="left" w:pos="525"/>
          <w:tab w:val="left" w:pos="1155"/>
          <w:tab w:val="left" w:pos="1260"/>
          <w:tab w:val="left" w:pos="1680"/>
        </w:tabs>
        <w:spacing w:before="0" w:beforeAutospacing="0" w:after="0" w:afterAutospacing="0" w:line="360" w:lineRule="auto"/>
        <w:ind w:left="0" w:leftChars="0" w:right="0" w:firstLine="482" w:firstLineChars="0"/>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kern w:val="0"/>
          <w:sz w:val="24"/>
          <w:szCs w:val="24"/>
          <w:highlight w:val="none"/>
          <w:lang w:val="en-US" w:eastAsia="zh-CN" w:bidi="ar"/>
        </w:rPr>
        <w:t>合理化建议（6分）：</w:t>
      </w:r>
    </w:p>
    <w:p w14:paraId="44528FD1">
      <w:pPr>
        <w:keepNext w:val="0"/>
        <w:keepLines w:val="0"/>
        <w:widowControl w:val="0"/>
        <w:suppressLineNumbers w:val="0"/>
        <w:tabs>
          <w:tab w:val="left" w:pos="525"/>
          <w:tab w:val="left" w:pos="1155"/>
          <w:tab w:val="left" w:pos="1260"/>
          <w:tab w:val="left" w:pos="1680"/>
        </w:tabs>
        <w:spacing w:before="0" w:beforeAutospacing="0" w:after="0" w:afterAutospacing="0" w:line="360" w:lineRule="auto"/>
        <w:ind w:left="0" w:right="0" w:firstLine="480" w:firstLineChars="200"/>
        <w:jc w:val="both"/>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内容包括：①从项目的实际情况出发提出相关建议；②自然灾害、事故灾害、公共卫生安全事件等突发事件的相关建议；③可能存在的与其他单位、部门的协调难点调研及分析。</w:t>
      </w:r>
    </w:p>
    <w:p w14:paraId="6649FD1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方案完整、科学合理，设计清晰详细，完全符合本项目需求，且能够提供上述3项全部方案的，得6分；</w:t>
      </w:r>
    </w:p>
    <w:p w14:paraId="60F67B1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方案相对完整，科学合理性相</w:t>
      </w:r>
      <w:r>
        <w:rPr>
          <w:rFonts w:hint="eastAsia" w:ascii="宋体" w:hAnsi="宋体" w:cs="宋体"/>
          <w:bCs/>
          <w:color w:val="auto"/>
          <w:kern w:val="0"/>
          <w:sz w:val="24"/>
          <w:szCs w:val="24"/>
          <w:highlight w:val="none"/>
          <w:lang w:val="en-US" w:eastAsia="zh-CN" w:bidi="ar"/>
        </w:rPr>
        <w:t>对较</w:t>
      </w:r>
      <w:r>
        <w:rPr>
          <w:rFonts w:hint="eastAsia" w:ascii="宋体" w:hAnsi="宋体" w:eastAsia="宋体" w:cs="宋体"/>
          <w:bCs/>
          <w:color w:val="auto"/>
          <w:kern w:val="0"/>
          <w:sz w:val="24"/>
          <w:szCs w:val="24"/>
          <w:highlight w:val="none"/>
          <w:lang w:val="en-US" w:eastAsia="zh-CN" w:bidi="ar"/>
        </w:rPr>
        <w:t>强，设计相对清晰，能够符合本项目需求，能够提供上述3项方案的，得4分；</w:t>
      </w:r>
    </w:p>
    <w:p w14:paraId="6FA8364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方案完整性一般，科学合理性一般，设计清晰详细程度一般，能够符合本项目需求，能够提供上述2-3项方案的，得2分；</w:t>
      </w:r>
    </w:p>
    <w:p w14:paraId="305F665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方案完整性、科学合理性、设计的清晰详细程度等只能基本满足要求，能够提供上述2-3项方案的，得1分；</w:t>
      </w:r>
    </w:p>
    <w:p w14:paraId="3C4210C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color w:val="auto"/>
          <w:kern w:val="0"/>
          <w:sz w:val="24"/>
          <w:szCs w:val="24"/>
          <w:highlight w:val="none"/>
          <w:lang w:val="en-US" w:eastAsia="zh-CN" w:bidi="ar"/>
        </w:rPr>
      </w:pPr>
      <w:r>
        <w:rPr>
          <w:rFonts w:hint="eastAsia" w:ascii="宋体" w:hAnsi="宋体" w:eastAsia="宋体" w:cs="宋体"/>
          <w:bCs/>
          <w:color w:val="auto"/>
          <w:kern w:val="0"/>
          <w:sz w:val="24"/>
          <w:szCs w:val="24"/>
          <w:highlight w:val="none"/>
          <w:lang w:val="en-US" w:eastAsia="zh-CN" w:bidi="ar"/>
        </w:rPr>
        <w:t>提供方案不足2项或无方案的，不得分。</w:t>
      </w:r>
    </w:p>
    <w:p w14:paraId="2A43D6AC">
      <w:pPr>
        <w:keepNext w:val="0"/>
        <w:keepLines w:val="0"/>
        <w:widowControl w:val="0"/>
        <w:suppressLineNumbers w:val="0"/>
        <w:spacing w:before="0" w:beforeAutospacing="0" w:after="0" w:afterAutospacing="0" w:line="360" w:lineRule="auto"/>
        <w:ind w:left="0" w:right="0" w:firstLine="480"/>
        <w:jc w:val="both"/>
        <w:rPr>
          <w:color w:val="auto"/>
          <w:highlight w:val="none"/>
        </w:rPr>
      </w:pPr>
      <w:r>
        <w:rPr>
          <w:rFonts w:hint="eastAsia" w:ascii="宋体" w:hAnsi="宋体" w:eastAsia="宋体" w:cs="宋体"/>
          <w:b/>
          <w:bCs/>
          <w:color w:val="auto"/>
          <w:kern w:val="0"/>
          <w:sz w:val="24"/>
          <w:szCs w:val="24"/>
          <w:highlight w:val="none"/>
          <w:lang w:val="en-US" w:eastAsia="zh-CN" w:bidi="ar"/>
        </w:rPr>
        <w:t>评委一般按照上述评分要求及投标技术文件实际内容酌情评分。（取所有评委打分分值的平均值）评分办法及评分细则的解释权属采购人。未列入本评分细则的其他条件不作为评分内容。</w:t>
      </w:r>
    </w:p>
    <w:p w14:paraId="0B043353">
      <w:pPr>
        <w:keepNext w:val="0"/>
        <w:keepLines w:val="0"/>
        <w:pageBreakBefore w:val="0"/>
        <w:widowControl w:val="0"/>
        <w:tabs>
          <w:tab w:val="left" w:pos="945"/>
          <w:tab w:val="left" w:pos="1155"/>
        </w:tabs>
        <w:kinsoku/>
        <w:wordWrap/>
        <w:overflowPunct/>
        <w:topLinePunct w:val="0"/>
        <w:autoSpaceDE/>
        <w:autoSpaceDN/>
        <w:bidi w:val="0"/>
        <w:adjustRightInd/>
        <w:spacing w:line="360" w:lineRule="auto"/>
        <w:ind w:left="0" w:leftChars="0" w:firstLine="482" w:firstLineChars="200"/>
        <w:jc w:val="left"/>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技术标评委在5人及5人以上的，取所有成员的平均值。评分办法及评分细则的解释权</w:t>
      </w:r>
      <w:r>
        <w:rPr>
          <w:rFonts w:hint="eastAsia" w:ascii="宋体" w:hAnsi="宋体" w:cs="宋体"/>
          <w:b/>
          <w:bCs w:val="0"/>
          <w:color w:val="auto"/>
          <w:sz w:val="24"/>
          <w:szCs w:val="24"/>
          <w:highlight w:val="none"/>
          <w:lang w:eastAsia="zh-CN"/>
        </w:rPr>
        <w:t>属于</w:t>
      </w:r>
      <w:r>
        <w:rPr>
          <w:rFonts w:hint="eastAsia" w:ascii="宋体" w:hAnsi="宋体" w:eastAsia="宋体" w:cs="宋体"/>
          <w:b/>
          <w:bCs w:val="0"/>
          <w:color w:val="auto"/>
          <w:sz w:val="24"/>
          <w:szCs w:val="24"/>
          <w:highlight w:val="none"/>
        </w:rPr>
        <w:t>采购人。未列入本评分细则的其他条件不作为评分内容。</w:t>
      </w:r>
    </w:p>
    <w:p w14:paraId="0A34859A">
      <w:pPr>
        <w:pStyle w:val="241"/>
        <w:keepNext w:val="0"/>
        <w:keepLines w:val="0"/>
        <w:pageBreakBefore w:val="0"/>
        <w:widowControl w:val="0"/>
        <w:spacing w:line="360" w:lineRule="auto"/>
        <w:ind w:left="0" w:right="0" w:firstLine="480"/>
        <w:jc w:val="left"/>
        <w:outlineLvl w:val="9"/>
        <w:rPr>
          <w:rFonts w:hint="eastAsia" w:ascii="宋体" w:hAnsi="宋体" w:eastAsia="宋体" w:cs="宋体"/>
          <w:color w:val="auto"/>
          <w:sz w:val="24"/>
          <w:szCs w:val="24"/>
          <w:highlight w:val="none"/>
          <w:lang w:val="en-US" w:eastAsia="zh-CN"/>
        </w:rPr>
        <w:sectPr>
          <w:pgSz w:w="11906" w:h="16838"/>
          <w:pgMar w:top="1134" w:right="1134" w:bottom="1134" w:left="1134" w:header="624" w:footer="907" w:gutter="0"/>
          <w:cols w:space="1701" w:num="1"/>
          <w:rtlGutter w:val="0"/>
          <w:docGrid w:linePitch="360" w:charSpace="0"/>
        </w:sectPr>
      </w:pPr>
      <w:r>
        <w:rPr>
          <w:rFonts w:hint="eastAsia" w:ascii="宋体" w:hAnsi="宋体" w:eastAsia="宋体" w:cs="宋体"/>
          <w:b/>
          <w:bCs w:val="0"/>
          <w:color w:val="auto"/>
          <w:sz w:val="24"/>
          <w:szCs w:val="24"/>
          <w:highlight w:val="none"/>
          <w:lang w:eastAsia="zh-CN"/>
        </w:rPr>
        <w:t>注：投标文件中需上传证明的材料文件</w:t>
      </w:r>
      <w:r>
        <w:rPr>
          <w:rFonts w:hint="eastAsia" w:ascii="宋体" w:hAnsi="宋体" w:eastAsia="宋体" w:cs="宋体"/>
          <w:b/>
          <w:bCs w:val="0"/>
          <w:color w:val="auto"/>
          <w:sz w:val="24"/>
          <w:szCs w:val="24"/>
          <w:highlight w:val="none"/>
          <w:lang w:val="en-US" w:eastAsia="zh-CN"/>
        </w:rPr>
        <w:t>应</w:t>
      </w:r>
      <w:r>
        <w:rPr>
          <w:rFonts w:hint="eastAsia" w:ascii="宋体" w:hAnsi="宋体" w:eastAsia="宋体" w:cs="宋体"/>
          <w:b/>
          <w:bCs w:val="0"/>
          <w:color w:val="auto"/>
          <w:sz w:val="24"/>
          <w:szCs w:val="24"/>
          <w:highlight w:val="none"/>
          <w:lang w:eastAsia="zh-CN"/>
        </w:rPr>
        <w:t>上传到相关联对应的页面，若在评审过程中，评委在相对应页面找不到相关联的文件，由此产生的后果由投标人自行负责。所需证明文件扫描件上传至投标文件并电子签章。</w:t>
      </w:r>
    </w:p>
    <w:p w14:paraId="617E9B90">
      <w:pPr>
        <w:keepNext w:val="0"/>
        <w:keepLines w:val="0"/>
        <w:pageBreakBefore w:val="0"/>
        <w:spacing w:line="360" w:lineRule="auto"/>
        <w:jc w:val="left"/>
        <w:outlineLvl w:val="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附件二：投标文件格式</w:t>
      </w:r>
    </w:p>
    <w:p w14:paraId="19E7BCD7">
      <w:pPr>
        <w:outlineLvl w:val="9"/>
        <w:rPr>
          <w:rFonts w:ascii="黑体" w:eastAsia="黑体"/>
          <w:bCs/>
          <w:color w:val="auto"/>
          <w:sz w:val="32"/>
          <w:highlight w:val="none"/>
        </w:rPr>
      </w:pPr>
    </w:p>
    <w:p w14:paraId="3450204B">
      <w:pPr>
        <w:outlineLvl w:val="9"/>
        <w:rPr>
          <w:rFonts w:ascii="黑体" w:eastAsia="黑体"/>
          <w:bCs/>
          <w:color w:val="auto"/>
          <w:sz w:val="32"/>
          <w:highlight w:val="none"/>
        </w:rPr>
      </w:pPr>
    </w:p>
    <w:p w14:paraId="76C3C259">
      <w:pPr>
        <w:jc w:val="center"/>
        <w:outlineLvl w:val="9"/>
        <w:rPr>
          <w:rFonts w:hint="eastAsia" w:ascii="黑体" w:eastAsia="黑体"/>
          <w:bCs/>
          <w:color w:val="auto"/>
          <w:sz w:val="52"/>
          <w:szCs w:val="52"/>
          <w:highlight w:val="none"/>
        </w:rPr>
      </w:pPr>
    </w:p>
    <w:p w14:paraId="5FAF7080">
      <w:pPr>
        <w:jc w:val="center"/>
        <w:outlineLvl w:val="9"/>
        <w:rPr>
          <w:rFonts w:ascii="黑体" w:eastAsia="黑体"/>
          <w:bCs/>
          <w:color w:val="auto"/>
          <w:sz w:val="52"/>
          <w:szCs w:val="52"/>
          <w:highlight w:val="none"/>
        </w:rPr>
      </w:pPr>
      <w:r>
        <w:rPr>
          <w:rFonts w:hint="eastAsia" w:ascii="黑体" w:eastAsia="黑体"/>
          <w:bCs/>
          <w:color w:val="auto"/>
          <w:sz w:val="52"/>
          <w:szCs w:val="52"/>
          <w:highlight w:val="none"/>
        </w:rPr>
        <w:t>投</w:t>
      </w:r>
    </w:p>
    <w:p w14:paraId="4E6A7329">
      <w:pPr>
        <w:jc w:val="center"/>
        <w:outlineLvl w:val="9"/>
        <w:rPr>
          <w:rFonts w:ascii="黑体" w:eastAsia="黑体"/>
          <w:bCs/>
          <w:color w:val="auto"/>
          <w:sz w:val="72"/>
          <w:highlight w:val="none"/>
        </w:rPr>
      </w:pPr>
    </w:p>
    <w:p w14:paraId="0D5C5D62">
      <w:pPr>
        <w:jc w:val="center"/>
        <w:outlineLvl w:val="9"/>
        <w:rPr>
          <w:rFonts w:ascii="黑体" w:eastAsia="黑体"/>
          <w:bCs/>
          <w:color w:val="auto"/>
          <w:sz w:val="52"/>
          <w:szCs w:val="52"/>
          <w:highlight w:val="none"/>
        </w:rPr>
      </w:pPr>
      <w:r>
        <w:rPr>
          <w:rFonts w:hint="eastAsia" w:ascii="黑体" w:eastAsia="黑体"/>
          <w:bCs/>
          <w:color w:val="auto"/>
          <w:sz w:val="52"/>
          <w:szCs w:val="52"/>
          <w:highlight w:val="none"/>
        </w:rPr>
        <w:t>标</w:t>
      </w:r>
    </w:p>
    <w:p w14:paraId="1A8827BB">
      <w:pPr>
        <w:jc w:val="center"/>
        <w:outlineLvl w:val="9"/>
        <w:rPr>
          <w:rFonts w:ascii="黑体" w:hAnsi="Times New Roman" w:eastAsia="黑体" w:cs="Times New Roman"/>
          <w:bCs/>
          <w:color w:val="auto"/>
          <w:sz w:val="72"/>
          <w:highlight w:val="none"/>
        </w:rPr>
      </w:pPr>
    </w:p>
    <w:p w14:paraId="7624A216">
      <w:pPr>
        <w:jc w:val="center"/>
        <w:outlineLvl w:val="9"/>
        <w:rPr>
          <w:rFonts w:ascii="黑体" w:eastAsia="黑体"/>
          <w:bCs/>
          <w:color w:val="auto"/>
          <w:sz w:val="52"/>
          <w:szCs w:val="52"/>
          <w:highlight w:val="none"/>
        </w:rPr>
      </w:pPr>
      <w:r>
        <w:rPr>
          <w:rFonts w:hint="eastAsia" w:ascii="黑体" w:eastAsia="黑体"/>
          <w:bCs/>
          <w:color w:val="auto"/>
          <w:sz w:val="52"/>
          <w:szCs w:val="52"/>
          <w:highlight w:val="none"/>
        </w:rPr>
        <w:t>文</w:t>
      </w:r>
    </w:p>
    <w:p w14:paraId="3998614F">
      <w:pPr>
        <w:jc w:val="center"/>
        <w:outlineLvl w:val="9"/>
        <w:rPr>
          <w:rFonts w:ascii="黑体" w:hAnsi="Times New Roman" w:eastAsia="黑体" w:cs="Times New Roman"/>
          <w:bCs/>
          <w:color w:val="auto"/>
          <w:sz w:val="72"/>
          <w:highlight w:val="none"/>
        </w:rPr>
      </w:pPr>
    </w:p>
    <w:p w14:paraId="533D1291">
      <w:pPr>
        <w:jc w:val="center"/>
        <w:outlineLvl w:val="9"/>
        <w:rPr>
          <w:rFonts w:ascii="黑体" w:eastAsia="黑体"/>
          <w:bCs/>
          <w:color w:val="auto"/>
          <w:sz w:val="52"/>
          <w:szCs w:val="52"/>
          <w:highlight w:val="none"/>
        </w:rPr>
      </w:pPr>
      <w:r>
        <w:rPr>
          <w:rFonts w:hint="eastAsia" w:ascii="黑体" w:eastAsia="黑体"/>
          <w:bCs/>
          <w:color w:val="auto"/>
          <w:sz w:val="52"/>
          <w:szCs w:val="52"/>
          <w:highlight w:val="none"/>
        </w:rPr>
        <w:t>件</w:t>
      </w:r>
    </w:p>
    <w:p w14:paraId="502D6CDD">
      <w:pPr>
        <w:outlineLvl w:val="9"/>
        <w:rPr>
          <w:rFonts w:ascii="方正仿宋_GB2312" w:eastAsia="方正仿宋_GB2312"/>
          <w:bCs/>
          <w:color w:val="auto"/>
          <w:sz w:val="72"/>
          <w:highlight w:val="none"/>
        </w:rPr>
      </w:pPr>
    </w:p>
    <w:p w14:paraId="4A329ABA">
      <w:pPr>
        <w:outlineLvl w:val="9"/>
        <w:rPr>
          <w:rFonts w:ascii="方正仿宋_GB2312" w:eastAsia="方正仿宋_GB2312"/>
          <w:bCs/>
          <w:color w:val="auto"/>
          <w:sz w:val="28"/>
          <w:highlight w:val="none"/>
        </w:rPr>
      </w:pPr>
    </w:p>
    <w:p w14:paraId="27C8441F">
      <w:pPr>
        <w:spacing w:line="360" w:lineRule="auto"/>
        <w:ind w:firstLine="560"/>
        <w:outlineLvl w:val="9"/>
        <w:rPr>
          <w:rFonts w:hint="eastAsia" w:ascii="黑体" w:eastAsia="黑体"/>
          <w:bCs/>
          <w:color w:val="auto"/>
          <w:sz w:val="28"/>
          <w:szCs w:val="28"/>
          <w:highlight w:val="none"/>
        </w:rPr>
      </w:pPr>
    </w:p>
    <w:p w14:paraId="7C319B73">
      <w:pPr>
        <w:spacing w:line="360" w:lineRule="auto"/>
        <w:ind w:firstLine="560"/>
        <w:outlineLvl w:val="9"/>
        <w:rPr>
          <w:rFonts w:hint="eastAsia" w:ascii="黑体" w:eastAsia="黑体"/>
          <w:bCs/>
          <w:color w:val="auto"/>
          <w:sz w:val="28"/>
          <w:szCs w:val="28"/>
          <w:highlight w:val="none"/>
        </w:rPr>
      </w:pPr>
    </w:p>
    <w:p w14:paraId="660ECA92">
      <w:pPr>
        <w:spacing w:line="360" w:lineRule="auto"/>
        <w:ind w:firstLine="560"/>
        <w:outlineLvl w:val="9"/>
        <w:rPr>
          <w:rFonts w:hint="eastAsia" w:ascii="黑体" w:eastAsia="黑体"/>
          <w:bCs/>
          <w:color w:val="auto"/>
          <w:sz w:val="28"/>
          <w:szCs w:val="28"/>
          <w:highlight w:val="none"/>
        </w:rPr>
      </w:pPr>
      <w:r>
        <w:rPr>
          <w:rFonts w:hint="eastAsia" w:ascii="黑体" w:eastAsia="黑体"/>
          <w:bCs/>
          <w:color w:val="auto"/>
          <w:sz w:val="28"/>
          <w:szCs w:val="28"/>
          <w:highlight w:val="none"/>
        </w:rPr>
        <w:t>采购项目编号：</w:t>
      </w:r>
    </w:p>
    <w:p w14:paraId="2A2CE9FD">
      <w:pPr>
        <w:spacing w:line="360" w:lineRule="auto"/>
        <w:ind w:firstLine="560"/>
        <w:outlineLvl w:val="9"/>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采购项目名称：</w:t>
      </w:r>
      <w:r>
        <w:rPr>
          <w:rFonts w:hint="eastAsia" w:ascii="黑体" w:eastAsia="黑体"/>
          <w:bCs/>
          <w:color w:val="auto"/>
          <w:sz w:val="28"/>
          <w:szCs w:val="28"/>
          <w:highlight w:val="none"/>
          <w:lang w:eastAsia="zh-CN"/>
        </w:rPr>
        <w:t>2025—2027年鸿山街道特种设备安全、非特种设备升降平台安全和食品安全第三方信息化协管项目</w:t>
      </w:r>
    </w:p>
    <w:p w14:paraId="725E83A0">
      <w:pPr>
        <w:spacing w:line="360" w:lineRule="auto"/>
        <w:ind w:firstLine="560"/>
        <w:outlineLvl w:val="9"/>
        <w:rPr>
          <w:rFonts w:ascii="黑体" w:eastAsia="黑体"/>
          <w:bCs/>
          <w:color w:val="auto"/>
          <w:sz w:val="28"/>
          <w:szCs w:val="28"/>
          <w:highlight w:val="none"/>
        </w:rPr>
      </w:pPr>
      <w:r>
        <w:rPr>
          <w:rFonts w:hint="eastAsia" w:ascii="黑体" w:eastAsia="黑体"/>
          <w:bCs/>
          <w:color w:val="auto"/>
          <w:sz w:val="28"/>
          <w:szCs w:val="28"/>
          <w:highlight w:val="none"/>
        </w:rPr>
        <w:t>投标供应商：</w:t>
      </w:r>
    </w:p>
    <w:p w14:paraId="16CDD2D9">
      <w:pPr>
        <w:outlineLvl w:val="9"/>
        <w:rPr>
          <w:rFonts w:ascii="黑体" w:eastAsia="黑体"/>
          <w:bCs/>
          <w:color w:val="auto"/>
          <w:sz w:val="32"/>
          <w:highlight w:val="none"/>
        </w:rPr>
      </w:pPr>
    </w:p>
    <w:p w14:paraId="2CA587C2">
      <w:pPr>
        <w:jc w:val="center"/>
        <w:outlineLvl w:val="9"/>
        <w:rPr>
          <w:rFonts w:hint="eastAsia" w:ascii="黑体" w:eastAsia="黑体"/>
          <w:bCs/>
          <w:color w:val="auto"/>
          <w:sz w:val="36"/>
          <w:szCs w:val="36"/>
          <w:highlight w:val="none"/>
        </w:rPr>
      </w:pPr>
      <w:r>
        <w:rPr>
          <w:rFonts w:hint="eastAsia" w:ascii="黑体" w:eastAsia="黑体"/>
          <w:bCs/>
          <w:color w:val="auto"/>
          <w:sz w:val="36"/>
          <w:szCs w:val="36"/>
          <w:highlight w:val="none"/>
          <w:lang w:eastAsia="zh-CN"/>
        </w:rPr>
        <w:t>二〇二五</w:t>
      </w:r>
      <w:r>
        <w:rPr>
          <w:rFonts w:hint="eastAsia" w:ascii="黑体" w:eastAsia="黑体"/>
          <w:bCs/>
          <w:color w:val="auto"/>
          <w:sz w:val="36"/>
          <w:szCs w:val="36"/>
          <w:highlight w:val="none"/>
        </w:rPr>
        <w:t>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日</w:t>
      </w:r>
    </w:p>
    <w:p w14:paraId="351A0510">
      <w:pPr>
        <w:jc w:val="center"/>
        <w:outlineLvl w:val="9"/>
        <w:rPr>
          <w:rFonts w:ascii="黑体" w:eastAsia="黑体"/>
          <w:bCs/>
          <w:color w:val="auto"/>
          <w:sz w:val="36"/>
          <w:szCs w:val="36"/>
          <w:highlight w:val="none"/>
        </w:rPr>
      </w:pPr>
    </w:p>
    <w:p w14:paraId="417992DD">
      <w:pPr>
        <w:ind w:firstLine="480"/>
        <w:outlineLvl w:val="9"/>
        <w:rPr>
          <w:rFonts w:hint="eastAsia" w:ascii="黑体" w:hAnsi="宋体" w:eastAsia="黑体"/>
          <w:bCs/>
          <w:color w:val="auto"/>
          <w:sz w:val="24"/>
          <w:szCs w:val="24"/>
          <w:highlight w:val="none"/>
        </w:rPr>
        <w:sectPr>
          <w:pgSz w:w="11906" w:h="16838"/>
          <w:pgMar w:top="1134" w:right="1134" w:bottom="1134" w:left="1134" w:header="624" w:footer="907" w:gutter="0"/>
          <w:cols w:space="1701" w:num="1"/>
          <w:rtlGutter w:val="0"/>
          <w:docGrid w:linePitch="360" w:charSpace="0"/>
        </w:sectPr>
      </w:pPr>
      <w:bookmarkStart w:id="7" w:name="一．报价函（格式）"/>
      <w:bookmarkEnd w:id="7"/>
    </w:p>
    <w:p w14:paraId="09D1C5D1">
      <w:pPr>
        <w:outlineLvl w:val="2"/>
        <w:rPr>
          <w:rFonts w:ascii="黑体" w:hAnsi="宋体" w:eastAsia="黑体"/>
          <w:bCs/>
          <w:color w:val="auto"/>
          <w:sz w:val="24"/>
          <w:szCs w:val="24"/>
          <w:highlight w:val="none"/>
        </w:rPr>
      </w:pPr>
      <w:r>
        <w:rPr>
          <w:rFonts w:hint="eastAsia" w:ascii="黑体" w:hAnsi="宋体" w:eastAsia="黑体"/>
          <w:bCs/>
          <w:color w:val="auto"/>
          <w:sz w:val="24"/>
          <w:szCs w:val="24"/>
          <w:highlight w:val="none"/>
        </w:rPr>
        <w:t>（一）投标函（格式）：</w:t>
      </w:r>
    </w:p>
    <w:p w14:paraId="0B61B224">
      <w:pPr>
        <w:spacing w:line="360" w:lineRule="auto"/>
        <w:jc w:val="center"/>
        <w:outlineLvl w:val="9"/>
        <w:rPr>
          <w:rFonts w:ascii="宋体"/>
          <w:bCs/>
          <w:color w:val="auto"/>
          <w:sz w:val="24"/>
          <w:szCs w:val="24"/>
          <w:highlight w:val="none"/>
        </w:rPr>
      </w:pPr>
      <w:r>
        <w:rPr>
          <w:rFonts w:hint="eastAsia" w:ascii="黑体" w:eastAsia="黑体"/>
          <w:bCs/>
          <w:color w:val="auto"/>
          <w:sz w:val="28"/>
          <w:szCs w:val="28"/>
          <w:highlight w:val="none"/>
        </w:rPr>
        <w:t>投标函</w:t>
      </w:r>
    </w:p>
    <w:p w14:paraId="1A8D1927">
      <w:pPr>
        <w:spacing w:line="360" w:lineRule="auto"/>
        <w:outlineLvl w:val="9"/>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无锡彰誉技术咨询有限公司</w:t>
      </w:r>
      <w:r>
        <w:rPr>
          <w:rFonts w:hint="eastAsia" w:ascii="宋体" w:hAnsi="宋体"/>
          <w:bCs/>
          <w:color w:val="auto"/>
          <w:sz w:val="24"/>
          <w:szCs w:val="24"/>
          <w:highlight w:val="none"/>
        </w:rPr>
        <w:t>：</w:t>
      </w:r>
    </w:p>
    <w:p w14:paraId="281B2E60">
      <w:pPr>
        <w:spacing w:line="360" w:lineRule="auto"/>
        <w:ind w:firstLine="480"/>
        <w:outlineLvl w:val="9"/>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招标文件，经仔细阅读和研究，我方决定参加此项目的投标。</w:t>
      </w:r>
    </w:p>
    <w:p w14:paraId="4CAEDB9A">
      <w:pPr>
        <w:numPr>
          <w:ilvl w:val="0"/>
          <w:numId w:val="5"/>
        </w:numPr>
        <w:tabs>
          <w:tab w:val="left" w:pos="315"/>
          <w:tab w:val="left" w:pos="840"/>
          <w:tab w:val="left" w:pos="945"/>
          <w:tab w:val="left" w:pos="1050"/>
          <w:tab w:val="left" w:pos="1260"/>
        </w:tabs>
        <w:spacing w:line="360" w:lineRule="auto"/>
        <w:ind w:left="0" w:firstLine="525"/>
        <w:outlineLvl w:val="9"/>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6C1417C5">
      <w:pPr>
        <w:numPr>
          <w:ilvl w:val="0"/>
          <w:numId w:val="5"/>
        </w:numPr>
        <w:tabs>
          <w:tab w:val="left" w:pos="0"/>
          <w:tab w:val="left" w:pos="315"/>
          <w:tab w:val="left" w:pos="525"/>
          <w:tab w:val="left" w:pos="840"/>
          <w:tab w:val="left" w:pos="945"/>
          <w:tab w:val="left" w:pos="1050"/>
        </w:tabs>
        <w:spacing w:line="360" w:lineRule="auto"/>
        <w:ind w:left="0" w:firstLine="523"/>
        <w:outlineLvl w:val="9"/>
        <w:rPr>
          <w:rStyle w:val="299"/>
          <w:bCs/>
          <w:color w:val="auto"/>
          <w:highlight w:val="none"/>
        </w:rPr>
      </w:pPr>
      <w:r>
        <w:rPr>
          <w:rFonts w:hint="eastAsia" w:ascii="宋体" w:hAnsi="宋体"/>
          <w:bCs/>
          <w:color w:val="auto"/>
          <w:sz w:val="24"/>
          <w:szCs w:val="24"/>
          <w:highlight w:val="none"/>
        </w:rPr>
        <w:t>我方愿意提供</w:t>
      </w:r>
      <w:r>
        <w:rPr>
          <w:rFonts w:hint="eastAsia" w:ascii="宋体" w:hAnsi="宋体"/>
          <w:bCs/>
          <w:color w:val="auto"/>
          <w:sz w:val="24"/>
          <w:szCs w:val="24"/>
          <w:highlight w:val="none"/>
          <w:lang w:eastAsia="zh-CN"/>
        </w:rPr>
        <w:t>无锡彰誉技术咨询有限公司</w:t>
      </w:r>
      <w:r>
        <w:rPr>
          <w:rFonts w:hint="eastAsia" w:ascii="宋体" w:hAnsi="宋体"/>
          <w:bCs/>
          <w:color w:val="auto"/>
          <w:sz w:val="24"/>
          <w:szCs w:val="24"/>
          <w:highlight w:val="none"/>
        </w:rPr>
        <w:t>在招标文件中要求的文件、资料。</w:t>
      </w:r>
    </w:p>
    <w:p w14:paraId="418662A3">
      <w:pPr>
        <w:numPr>
          <w:ilvl w:val="0"/>
          <w:numId w:val="5"/>
        </w:numPr>
        <w:tabs>
          <w:tab w:val="left" w:pos="0"/>
          <w:tab w:val="left" w:pos="315"/>
          <w:tab w:val="left" w:pos="525"/>
          <w:tab w:val="left" w:pos="945"/>
          <w:tab w:val="left" w:pos="1050"/>
        </w:tabs>
        <w:spacing w:line="360" w:lineRule="auto"/>
        <w:ind w:left="0" w:firstLine="523"/>
        <w:outlineLvl w:val="9"/>
        <w:rPr>
          <w:rFonts w:ascii="宋体"/>
          <w:bCs/>
          <w:color w:val="auto"/>
          <w:sz w:val="24"/>
          <w:szCs w:val="24"/>
          <w:highlight w:val="none"/>
        </w:rPr>
      </w:pPr>
      <w:r>
        <w:rPr>
          <w:rFonts w:hint="eastAsia" w:ascii="宋体" w:hAnsi="宋体"/>
          <w:bCs/>
          <w:color w:val="auto"/>
          <w:sz w:val="24"/>
          <w:szCs w:val="24"/>
          <w:highlight w:val="none"/>
        </w:rPr>
        <w:t>我方同意按招标文件中的规定，本投标文件投标的有效期限为开标之日起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2D59A39F">
      <w:pPr>
        <w:numPr>
          <w:ilvl w:val="0"/>
          <w:numId w:val="5"/>
        </w:numPr>
        <w:tabs>
          <w:tab w:val="left" w:pos="0"/>
          <w:tab w:val="left" w:pos="315"/>
          <w:tab w:val="left" w:pos="525"/>
          <w:tab w:val="left" w:pos="945"/>
          <w:tab w:val="left" w:pos="1050"/>
        </w:tabs>
        <w:spacing w:line="360" w:lineRule="auto"/>
        <w:ind w:left="0" w:firstLine="523"/>
        <w:outlineLvl w:val="9"/>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194F7891">
      <w:pPr>
        <w:numPr>
          <w:ilvl w:val="0"/>
          <w:numId w:val="5"/>
        </w:numPr>
        <w:tabs>
          <w:tab w:val="left" w:pos="0"/>
          <w:tab w:val="left" w:pos="315"/>
          <w:tab w:val="left" w:pos="525"/>
          <w:tab w:val="left" w:pos="945"/>
          <w:tab w:val="left" w:pos="1050"/>
        </w:tabs>
        <w:spacing w:line="360" w:lineRule="auto"/>
        <w:ind w:left="0" w:firstLine="523"/>
        <w:outlineLvl w:val="9"/>
        <w:rPr>
          <w:rFonts w:ascii="宋体"/>
          <w:bCs/>
          <w:color w:val="auto"/>
          <w:sz w:val="24"/>
          <w:szCs w:val="24"/>
          <w:highlight w:val="none"/>
        </w:rPr>
      </w:pPr>
      <w:r>
        <w:rPr>
          <w:rFonts w:hint="eastAsia" w:ascii="宋体" w:hAnsi="宋体"/>
          <w:bCs/>
          <w:color w:val="auto"/>
          <w:sz w:val="24"/>
          <w:szCs w:val="24"/>
          <w:highlight w:val="none"/>
        </w:rPr>
        <w:t>我方认为贵中心有权决定中标者。</w:t>
      </w:r>
    </w:p>
    <w:p w14:paraId="18856B2D">
      <w:pPr>
        <w:numPr>
          <w:ilvl w:val="0"/>
          <w:numId w:val="5"/>
        </w:numPr>
        <w:tabs>
          <w:tab w:val="left" w:pos="0"/>
          <w:tab w:val="left" w:pos="315"/>
          <w:tab w:val="left" w:pos="525"/>
          <w:tab w:val="left" w:pos="945"/>
          <w:tab w:val="left" w:pos="1050"/>
        </w:tabs>
        <w:spacing w:line="360" w:lineRule="auto"/>
        <w:ind w:left="0" w:firstLine="523"/>
        <w:outlineLvl w:val="9"/>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657120E3">
      <w:pPr>
        <w:numPr>
          <w:ilvl w:val="0"/>
          <w:numId w:val="5"/>
        </w:numPr>
        <w:tabs>
          <w:tab w:val="left" w:pos="0"/>
          <w:tab w:val="left" w:pos="315"/>
          <w:tab w:val="left" w:pos="525"/>
          <w:tab w:val="left" w:pos="945"/>
          <w:tab w:val="left" w:pos="1050"/>
        </w:tabs>
        <w:spacing w:line="360" w:lineRule="auto"/>
        <w:ind w:left="0" w:firstLine="523"/>
        <w:outlineLvl w:val="9"/>
        <w:rPr>
          <w:rFonts w:ascii="宋体"/>
          <w:bCs/>
          <w:color w:val="auto"/>
          <w:sz w:val="24"/>
          <w:szCs w:val="24"/>
          <w:highlight w:val="none"/>
        </w:rPr>
      </w:pPr>
      <w:r>
        <w:rPr>
          <w:rFonts w:hint="eastAsia" w:ascii="宋体" w:hAnsi="宋体"/>
          <w:bCs/>
          <w:color w:val="auto"/>
          <w:sz w:val="24"/>
          <w:szCs w:val="24"/>
          <w:highlight w:val="none"/>
        </w:rPr>
        <w:t>我方认可并遵守招标文件的所有规定，放弃对招标文件提出质疑的权利。</w:t>
      </w:r>
    </w:p>
    <w:p w14:paraId="3AD144B8">
      <w:pPr>
        <w:numPr>
          <w:ilvl w:val="0"/>
          <w:numId w:val="5"/>
        </w:numPr>
        <w:tabs>
          <w:tab w:val="left" w:pos="0"/>
          <w:tab w:val="left" w:pos="315"/>
          <w:tab w:val="left" w:pos="525"/>
          <w:tab w:val="left" w:pos="945"/>
          <w:tab w:val="left" w:pos="1050"/>
        </w:tabs>
        <w:spacing w:line="360" w:lineRule="auto"/>
        <w:ind w:left="0" w:firstLine="523"/>
        <w:outlineLvl w:val="9"/>
        <w:rPr>
          <w:rFonts w:ascii="宋体"/>
          <w:bCs/>
          <w:color w:val="auto"/>
          <w:sz w:val="24"/>
          <w:szCs w:val="24"/>
          <w:highlight w:val="none"/>
        </w:rPr>
      </w:pPr>
      <w:r>
        <w:rPr>
          <w:rFonts w:hint="eastAsia" w:ascii="宋体" w:hAnsi="宋体"/>
          <w:bCs/>
          <w:color w:val="auto"/>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14:paraId="331AB60B">
      <w:pPr>
        <w:numPr>
          <w:ilvl w:val="0"/>
          <w:numId w:val="5"/>
        </w:numPr>
        <w:tabs>
          <w:tab w:val="left" w:pos="0"/>
          <w:tab w:val="left" w:pos="315"/>
          <w:tab w:val="left" w:pos="525"/>
          <w:tab w:val="left" w:pos="945"/>
          <w:tab w:val="left" w:pos="1050"/>
        </w:tabs>
        <w:spacing w:line="360" w:lineRule="auto"/>
        <w:ind w:left="0" w:firstLine="523"/>
        <w:outlineLvl w:val="9"/>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w:t>
      </w:r>
      <w:r>
        <w:rPr>
          <w:rFonts w:hint="eastAsia" w:ascii="宋体" w:hAnsi="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6B3B0D7">
      <w:pPr>
        <w:numPr>
          <w:ilvl w:val="0"/>
          <w:numId w:val="5"/>
        </w:numPr>
        <w:tabs>
          <w:tab w:val="left" w:pos="0"/>
          <w:tab w:val="left" w:pos="315"/>
          <w:tab w:val="left" w:pos="525"/>
          <w:tab w:val="left" w:pos="945"/>
          <w:tab w:val="left" w:pos="1050"/>
        </w:tabs>
        <w:spacing w:line="360" w:lineRule="auto"/>
        <w:ind w:left="0" w:firstLine="523"/>
        <w:outlineLvl w:val="9"/>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412D77C9">
      <w:pPr>
        <w:spacing w:line="360" w:lineRule="auto"/>
        <w:ind w:firstLine="720"/>
        <w:outlineLvl w:val="9"/>
        <w:rPr>
          <w:rFonts w:ascii="宋体"/>
          <w:bCs/>
          <w:color w:val="auto"/>
          <w:sz w:val="24"/>
          <w:szCs w:val="24"/>
          <w:highlight w:val="none"/>
        </w:rPr>
      </w:pPr>
    </w:p>
    <w:p w14:paraId="00268F75">
      <w:pPr>
        <w:spacing w:line="400" w:lineRule="exact"/>
        <w:ind w:firstLine="480"/>
        <w:outlineLvl w:val="9"/>
        <w:rPr>
          <w:rFonts w:ascii="宋体"/>
          <w:bCs/>
          <w:color w:val="auto"/>
          <w:sz w:val="24"/>
          <w:szCs w:val="24"/>
          <w:highlight w:val="none"/>
        </w:rPr>
      </w:pPr>
      <w:r>
        <w:rPr>
          <w:rFonts w:hint="eastAsia" w:ascii="宋体" w:hAnsi="宋体"/>
          <w:bCs/>
          <w:color w:val="auto"/>
          <w:sz w:val="24"/>
          <w:szCs w:val="24"/>
          <w:highlight w:val="none"/>
        </w:rPr>
        <w:t>投标供应商（盖章）：</w:t>
      </w:r>
      <w:r>
        <w:rPr>
          <w:rFonts w:ascii="宋体" w:hAnsi="宋体"/>
          <w:bCs/>
          <w:color w:val="auto"/>
          <w:sz w:val="24"/>
          <w:szCs w:val="24"/>
          <w:highlight w:val="none"/>
        </w:rPr>
        <w:t xml:space="preserve">     </w:t>
      </w:r>
    </w:p>
    <w:p w14:paraId="08A288A1">
      <w:pPr>
        <w:spacing w:line="400" w:lineRule="exact"/>
        <w:ind w:firstLine="480"/>
        <w:outlineLvl w:val="9"/>
        <w:rPr>
          <w:rFonts w:asci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74D9517E">
      <w:pPr>
        <w:spacing w:line="400" w:lineRule="exact"/>
        <w:ind w:firstLine="480"/>
        <w:outlineLvl w:val="9"/>
        <w:rPr>
          <w:rFonts w:ascii="宋体"/>
          <w:bCs/>
          <w:color w:val="auto"/>
          <w:sz w:val="24"/>
          <w:szCs w:val="24"/>
          <w:highlight w:val="none"/>
        </w:rPr>
      </w:pPr>
      <w:r>
        <w:rPr>
          <w:rFonts w:hint="eastAsia" w:ascii="宋体" w:hAnsi="宋体"/>
          <w:bCs/>
          <w:color w:val="auto"/>
          <w:sz w:val="24"/>
          <w:szCs w:val="24"/>
          <w:highlight w:val="none"/>
        </w:rPr>
        <w:t>电话：</w:t>
      </w:r>
      <w:r>
        <w:rPr>
          <w:rFonts w:ascii="宋体" w:hAnsi="宋体"/>
          <w:bCs/>
          <w:color w:val="auto"/>
          <w:sz w:val="24"/>
          <w:szCs w:val="24"/>
          <w:highlight w:val="none"/>
        </w:rPr>
        <w:t xml:space="preserve">                              </w:t>
      </w:r>
      <w:r>
        <w:rPr>
          <w:rFonts w:hint="eastAsia" w:ascii="宋体" w:hAnsi="宋体"/>
          <w:bCs/>
          <w:color w:val="auto"/>
          <w:sz w:val="24"/>
          <w:szCs w:val="24"/>
          <w:highlight w:val="none"/>
        </w:rPr>
        <w:t>传真：</w:t>
      </w:r>
    </w:p>
    <w:p w14:paraId="0A924248">
      <w:pPr>
        <w:spacing w:line="400" w:lineRule="exact"/>
        <w:ind w:firstLine="480"/>
        <w:outlineLvl w:val="9"/>
        <w:rPr>
          <w:rFonts w:ascii="宋体" w:hAnsi="宋体"/>
          <w:bCs/>
          <w:color w:val="auto"/>
          <w:sz w:val="24"/>
          <w:szCs w:val="24"/>
          <w:highlight w:val="none"/>
        </w:rPr>
      </w:pPr>
      <w:r>
        <w:rPr>
          <w:rFonts w:hint="eastAsia" w:ascii="宋体" w:hAnsi="宋体"/>
          <w:bCs/>
          <w:color w:val="auto"/>
          <w:sz w:val="24"/>
          <w:szCs w:val="24"/>
          <w:highlight w:val="none"/>
        </w:rPr>
        <w:t>通讯地址：</w:t>
      </w:r>
      <w:r>
        <w:rPr>
          <w:rFonts w:ascii="宋体" w:hAnsi="宋体"/>
          <w:bCs/>
          <w:color w:val="auto"/>
          <w:sz w:val="24"/>
          <w:szCs w:val="24"/>
          <w:highlight w:val="none"/>
        </w:rPr>
        <w:t xml:space="preserve">                          </w:t>
      </w:r>
      <w:r>
        <w:rPr>
          <w:rFonts w:hint="eastAsia" w:ascii="宋体" w:hAnsi="宋体"/>
          <w:bCs/>
          <w:color w:val="auto"/>
          <w:sz w:val="24"/>
          <w:szCs w:val="24"/>
          <w:highlight w:val="none"/>
        </w:rPr>
        <w:t>邮编：</w:t>
      </w:r>
    </w:p>
    <w:p w14:paraId="78ADF027">
      <w:pPr>
        <w:spacing w:line="400" w:lineRule="exact"/>
        <w:ind w:firstLine="480"/>
        <w:outlineLvl w:val="9"/>
        <w:rPr>
          <w:rFonts w:ascii="宋体" w:hAnsi="宋体"/>
          <w:bCs/>
          <w:color w:val="auto"/>
          <w:sz w:val="24"/>
          <w:szCs w:val="24"/>
          <w:highlight w:val="none"/>
        </w:rPr>
      </w:pPr>
    </w:p>
    <w:p w14:paraId="73141741">
      <w:pPr>
        <w:ind w:firstLine="480"/>
        <w:outlineLvl w:val="9"/>
        <w:rPr>
          <w:rFonts w:hint="eastAsia" w:ascii="黑体" w:hAnsi="宋体" w:eastAsia="黑体"/>
          <w:bCs/>
          <w:color w:val="auto"/>
          <w:sz w:val="24"/>
          <w:szCs w:val="24"/>
          <w:highlight w:val="none"/>
        </w:rPr>
        <w:sectPr>
          <w:pgSz w:w="11906" w:h="16838"/>
          <w:pgMar w:top="1134" w:right="1134" w:bottom="1134" w:left="1134" w:header="624" w:footer="907" w:gutter="0"/>
          <w:cols w:space="1701" w:num="1"/>
          <w:rtlGutter w:val="0"/>
          <w:docGrid w:linePitch="360" w:charSpace="0"/>
        </w:sectPr>
      </w:pPr>
    </w:p>
    <w:p w14:paraId="00117520">
      <w:pPr>
        <w:outlineLvl w:val="2"/>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（二）（投标供应商）关于资格的声明函（格式）：</w:t>
      </w:r>
    </w:p>
    <w:p w14:paraId="4F4BB1FD">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黑体" w:eastAsia="黑体"/>
          <w:bCs/>
          <w:color w:val="auto"/>
          <w:sz w:val="36"/>
          <w:highlight w:val="none"/>
        </w:rPr>
      </w:pPr>
    </w:p>
    <w:p w14:paraId="685315E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ascii="黑体" w:eastAsia="黑体"/>
          <w:bCs/>
          <w:color w:val="auto"/>
          <w:sz w:val="28"/>
          <w:szCs w:val="28"/>
          <w:highlight w:val="none"/>
        </w:rPr>
      </w:pPr>
      <w:bookmarkStart w:id="8" w:name="报价方关于资格的声明函（格式）"/>
      <w:bookmarkEnd w:id="8"/>
      <w:r>
        <w:rPr>
          <w:rFonts w:hint="eastAsia" w:ascii="黑体" w:eastAsia="黑体"/>
          <w:bCs/>
          <w:color w:val="auto"/>
          <w:sz w:val="28"/>
          <w:szCs w:val="28"/>
          <w:highlight w:val="none"/>
        </w:rPr>
        <w:t>关于资格的声明函</w:t>
      </w:r>
    </w:p>
    <w:p w14:paraId="7B68C5BF">
      <w:pPr>
        <w:keepNext w:val="0"/>
        <w:keepLines w:val="0"/>
        <w:pageBreakBefore w:val="0"/>
        <w:widowControl w:val="0"/>
        <w:kinsoku/>
        <w:wordWrap/>
        <w:overflowPunct/>
        <w:topLinePunct w:val="0"/>
        <w:autoSpaceDE/>
        <w:autoSpaceDN/>
        <w:bidi w:val="0"/>
        <w:adjustRightInd/>
        <w:snapToGrid/>
        <w:spacing w:line="360" w:lineRule="auto"/>
        <w:jc w:val="right"/>
        <w:textAlignment w:val="auto"/>
        <w:outlineLvl w:val="9"/>
        <w:rPr>
          <w:rFonts w:ascii="宋体"/>
          <w:bCs/>
          <w:color w:val="auto"/>
          <w:sz w:val="24"/>
          <w:szCs w:val="24"/>
          <w:highlight w:val="none"/>
        </w:rPr>
      </w:pPr>
      <w:r>
        <w:rPr>
          <w:rFonts w:hint="eastAsia" w:ascii="宋体" w:hAnsi="宋体"/>
          <w:bCs/>
          <w:color w:val="auto"/>
          <w:sz w:val="24"/>
          <w:szCs w:val="24"/>
          <w:highlight w:val="none"/>
        </w:rPr>
        <w:t>采购项目编号：</w:t>
      </w:r>
    </w:p>
    <w:p w14:paraId="63924D66">
      <w:pPr>
        <w:keepNext w:val="0"/>
        <w:keepLines w:val="0"/>
        <w:pageBreakBefore w:val="0"/>
        <w:widowControl w:val="0"/>
        <w:tabs>
          <w:tab w:val="left" w:pos="6300"/>
        </w:tabs>
        <w:kinsoku/>
        <w:wordWrap/>
        <w:overflowPunct/>
        <w:topLinePunct w:val="0"/>
        <w:autoSpaceDE/>
        <w:autoSpaceDN/>
        <w:bidi w:val="0"/>
        <w:adjustRightInd/>
        <w:snapToGrid/>
        <w:spacing w:line="360" w:lineRule="auto"/>
        <w:jc w:val="right"/>
        <w:textAlignment w:val="auto"/>
        <w:outlineLvl w:val="9"/>
        <w:rPr>
          <w:rFonts w:ascii="宋体"/>
          <w:bCs/>
          <w:color w:val="auto"/>
          <w:sz w:val="24"/>
          <w:szCs w:val="24"/>
          <w:highlight w:val="none"/>
        </w:rPr>
      </w:pPr>
      <w:r>
        <w:rPr>
          <w:rFonts w:hint="eastAsia" w:ascii="宋体" w:hAnsi="宋体"/>
          <w:bCs/>
          <w:color w:val="auto"/>
          <w:sz w:val="24"/>
          <w:szCs w:val="24"/>
          <w:highlight w:val="none"/>
        </w:rPr>
        <w:t>日期：</w:t>
      </w:r>
    </w:p>
    <w:p w14:paraId="2AA8FA9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bCs/>
          <w:color w:val="auto"/>
          <w:sz w:val="24"/>
          <w:szCs w:val="24"/>
          <w:highlight w:val="none"/>
        </w:rPr>
      </w:pPr>
      <w:r>
        <w:rPr>
          <w:rFonts w:hint="eastAsia" w:ascii="宋体" w:hAnsi="宋体"/>
          <w:bCs/>
          <w:color w:val="auto"/>
          <w:sz w:val="24"/>
          <w:szCs w:val="24"/>
          <w:highlight w:val="none"/>
          <w:lang w:eastAsia="zh-CN"/>
        </w:rPr>
        <w:t>无锡彰誉技术咨询有限公司</w:t>
      </w:r>
      <w:r>
        <w:rPr>
          <w:rFonts w:hint="eastAsia" w:ascii="宋体" w:hAnsi="宋体"/>
          <w:bCs/>
          <w:color w:val="auto"/>
          <w:sz w:val="24"/>
          <w:szCs w:val="24"/>
          <w:highlight w:val="none"/>
        </w:rPr>
        <w:t>：</w:t>
      </w:r>
    </w:p>
    <w:p w14:paraId="20028E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宋体" w:hAnsi="宋体"/>
          <w:bCs/>
          <w:color w:val="auto"/>
          <w:sz w:val="24"/>
          <w:szCs w:val="24"/>
          <w:highlight w:val="none"/>
        </w:rPr>
      </w:pPr>
      <w:r>
        <w:rPr>
          <w:rFonts w:hint="eastAsia" w:ascii="宋体" w:hAnsi="宋体"/>
          <w:bCs/>
          <w:color w:val="auto"/>
          <w:sz w:val="24"/>
          <w:szCs w:val="24"/>
          <w:highlight w:val="none"/>
        </w:rPr>
        <w:t>我公司（单位）参加本次项目（</w:t>
      </w:r>
      <w:r>
        <w:rPr>
          <w:rFonts w:hint="eastAsia" w:ascii="宋体" w:hAnsi="宋体"/>
          <w:bCs/>
          <w:color w:val="auto"/>
          <w:sz w:val="24"/>
          <w:szCs w:val="24"/>
          <w:highlight w:val="none"/>
          <w:lang w:val="en-US" w:eastAsia="zh-CN"/>
        </w:rPr>
        <w:t xml:space="preserve">项目名称：    </w:t>
      </w:r>
      <w:r>
        <w:rPr>
          <w:rFonts w:hint="eastAsia" w:ascii="宋体" w:hAnsi="宋体"/>
          <w:bCs/>
          <w:color w:val="auto"/>
          <w:sz w:val="24"/>
          <w:szCs w:val="24"/>
          <w:highlight w:val="none"/>
        </w:rPr>
        <w:t>）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p>
    <w:p w14:paraId="439C7C0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bCs/>
          <w:color w:val="auto"/>
          <w:sz w:val="24"/>
          <w:szCs w:val="24"/>
          <w:highlight w:val="none"/>
        </w:rPr>
      </w:pPr>
    </w:p>
    <w:p w14:paraId="04FE5201">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投标供应商（盖章）：</w:t>
      </w:r>
    </w:p>
    <w:p w14:paraId="6989B1F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法定代表人或法定代表人授权代表（签字或盖章）：</w:t>
      </w:r>
    </w:p>
    <w:p w14:paraId="1D0222CB">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bCs/>
          <w:color w:val="auto"/>
          <w:sz w:val="24"/>
          <w:szCs w:val="24"/>
          <w:highlight w:val="none"/>
        </w:rPr>
      </w:pPr>
    </w:p>
    <w:p w14:paraId="2F0BB518">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ascii="黑体" w:hAnsi="宋体" w:eastAsia="黑体"/>
          <w:bCs/>
          <w:color w:val="auto"/>
          <w:sz w:val="24"/>
          <w:szCs w:val="24"/>
          <w:highlight w:val="none"/>
        </w:rPr>
      </w:pPr>
    </w:p>
    <w:p w14:paraId="5329F478">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ascii="黑体" w:hAnsi="宋体" w:eastAsia="黑体"/>
          <w:bCs/>
          <w:color w:val="auto"/>
          <w:sz w:val="24"/>
          <w:szCs w:val="24"/>
          <w:highlight w:val="none"/>
        </w:rPr>
      </w:pPr>
    </w:p>
    <w:p w14:paraId="1D522B46">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ascii="黑体" w:hAnsi="宋体" w:eastAsia="黑体"/>
          <w:bCs/>
          <w:color w:val="auto"/>
          <w:sz w:val="24"/>
          <w:szCs w:val="24"/>
          <w:highlight w:val="none"/>
        </w:rPr>
      </w:pPr>
    </w:p>
    <w:p w14:paraId="2EB43001">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ascii="黑体" w:hAnsi="宋体" w:eastAsia="黑体"/>
          <w:bCs/>
          <w:color w:val="auto"/>
          <w:sz w:val="24"/>
          <w:szCs w:val="24"/>
          <w:highlight w:val="none"/>
        </w:rPr>
      </w:pPr>
    </w:p>
    <w:p w14:paraId="5F2D4A0E">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ascii="黑体" w:hAnsi="宋体" w:eastAsia="黑体"/>
          <w:bCs/>
          <w:color w:val="auto"/>
          <w:sz w:val="24"/>
          <w:szCs w:val="24"/>
          <w:highlight w:val="none"/>
        </w:rPr>
      </w:pPr>
    </w:p>
    <w:p w14:paraId="65E26D2F">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ascii="黑体" w:hAnsi="宋体" w:eastAsia="黑体"/>
          <w:bCs/>
          <w:color w:val="auto"/>
          <w:sz w:val="24"/>
          <w:szCs w:val="24"/>
          <w:highlight w:val="none"/>
        </w:rPr>
      </w:pPr>
    </w:p>
    <w:p w14:paraId="64DA8961">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ascii="黑体" w:hAnsi="宋体" w:eastAsia="黑体"/>
          <w:bCs/>
          <w:color w:val="auto"/>
          <w:sz w:val="24"/>
          <w:szCs w:val="24"/>
          <w:highlight w:val="none"/>
        </w:rPr>
      </w:pPr>
    </w:p>
    <w:p w14:paraId="4D5C8A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bCs/>
          <w:color w:val="auto"/>
          <w:sz w:val="24"/>
          <w:szCs w:val="24"/>
          <w:highlight w:val="none"/>
        </w:rPr>
      </w:pPr>
      <w:r>
        <w:rPr>
          <w:rFonts w:hint="eastAsia" w:ascii="宋体" w:hAnsi="宋体"/>
          <w:bCs/>
          <w:color w:val="auto"/>
          <w:sz w:val="24"/>
          <w:szCs w:val="24"/>
          <w:highlight w:val="none"/>
        </w:rPr>
        <w:t>备注：上述所称“重大违法记录”</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是指供应商因违法经营受到刑事处罚或者责令停产停业、吊销许可证或者执照、较大数额罚款等行政处罚。</w:t>
      </w:r>
    </w:p>
    <w:p w14:paraId="605ED45F">
      <w:pPr>
        <w:spacing w:line="480" w:lineRule="auto"/>
        <w:outlineLvl w:val="9"/>
        <w:rPr>
          <w:rFonts w:hint="eastAsia" w:ascii="宋体" w:hAnsi="宋体"/>
          <w:bCs/>
          <w:color w:val="auto"/>
          <w:sz w:val="24"/>
          <w:szCs w:val="24"/>
          <w:highlight w:val="none"/>
        </w:rPr>
      </w:pPr>
    </w:p>
    <w:p w14:paraId="54523E20">
      <w:pPr>
        <w:ind w:firstLine="480"/>
        <w:outlineLvl w:val="9"/>
        <w:rPr>
          <w:rFonts w:hint="eastAsia" w:ascii="黑体" w:hAnsi="宋体" w:eastAsia="黑体"/>
          <w:bCs/>
          <w:color w:val="auto"/>
          <w:sz w:val="24"/>
          <w:szCs w:val="24"/>
          <w:highlight w:val="none"/>
        </w:rPr>
      </w:pPr>
    </w:p>
    <w:p w14:paraId="7C1A320C">
      <w:pPr>
        <w:ind w:firstLine="480"/>
        <w:outlineLvl w:val="9"/>
        <w:rPr>
          <w:rFonts w:hint="eastAsia" w:ascii="黑体" w:hAnsi="宋体" w:eastAsia="黑体"/>
          <w:bCs/>
          <w:color w:val="auto"/>
          <w:sz w:val="24"/>
          <w:szCs w:val="24"/>
          <w:highlight w:val="none"/>
        </w:rPr>
      </w:pPr>
    </w:p>
    <w:p w14:paraId="39A3A3F4">
      <w:pPr>
        <w:ind w:firstLine="480"/>
        <w:outlineLvl w:val="9"/>
        <w:rPr>
          <w:rFonts w:hint="eastAsia" w:ascii="黑体" w:hAnsi="宋体" w:eastAsia="黑体"/>
          <w:bCs/>
          <w:color w:val="auto"/>
          <w:sz w:val="24"/>
          <w:szCs w:val="24"/>
          <w:highlight w:val="none"/>
        </w:rPr>
        <w:sectPr>
          <w:pgSz w:w="11906" w:h="16838"/>
          <w:pgMar w:top="1134" w:right="1134" w:bottom="1134" w:left="1134" w:header="624" w:footer="907" w:gutter="0"/>
          <w:cols w:space="1701" w:num="1"/>
          <w:rtlGutter w:val="0"/>
          <w:docGrid w:linePitch="360" w:charSpace="0"/>
        </w:sectPr>
      </w:pPr>
    </w:p>
    <w:p w14:paraId="0BCBBACB">
      <w:pPr>
        <w:outlineLvl w:val="2"/>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（三）（投标供应商）法定代表人授权委托书（格式）：</w:t>
      </w:r>
    </w:p>
    <w:p w14:paraId="27DB7F16">
      <w:pPr>
        <w:outlineLvl w:val="9"/>
        <w:rPr>
          <w:rFonts w:ascii="黑体" w:eastAsia="黑体"/>
          <w:bCs/>
          <w:color w:val="auto"/>
          <w:sz w:val="28"/>
          <w:szCs w:val="28"/>
          <w:highlight w:val="none"/>
        </w:rPr>
      </w:pPr>
    </w:p>
    <w:p w14:paraId="4D5B2A59">
      <w:pPr>
        <w:jc w:val="center"/>
        <w:outlineLvl w:val="9"/>
        <w:rPr>
          <w:rFonts w:ascii="黑体" w:eastAsia="黑体"/>
          <w:bCs/>
          <w:color w:val="auto"/>
          <w:sz w:val="28"/>
          <w:szCs w:val="28"/>
          <w:highlight w:val="none"/>
        </w:rPr>
      </w:pPr>
      <w:r>
        <w:rPr>
          <w:rFonts w:hint="eastAsia" w:ascii="黑体" w:eastAsia="黑体"/>
          <w:bCs/>
          <w:color w:val="auto"/>
          <w:sz w:val="28"/>
          <w:szCs w:val="28"/>
          <w:highlight w:val="none"/>
        </w:rPr>
        <w:t>法定代表人授权委托书</w:t>
      </w:r>
    </w:p>
    <w:p w14:paraId="7D0AD53B">
      <w:pPr>
        <w:spacing w:line="480" w:lineRule="auto"/>
        <w:outlineLvl w:val="9"/>
        <w:rPr>
          <w:rFonts w:hint="eastAsia" w:ascii="宋体" w:hAnsi="宋体"/>
          <w:bCs/>
          <w:color w:val="auto"/>
          <w:sz w:val="24"/>
          <w:szCs w:val="24"/>
          <w:highlight w:val="none"/>
        </w:rPr>
      </w:pPr>
    </w:p>
    <w:p w14:paraId="3243E10C">
      <w:pPr>
        <w:spacing w:line="480" w:lineRule="auto"/>
        <w:jc w:val="center"/>
        <w:outlineLvl w:val="9"/>
        <w:rPr>
          <w:rFonts w:hint="eastAsia" w:ascii="宋体" w:hAnsi="宋体"/>
          <w:bCs/>
          <w:color w:val="auto"/>
          <w:sz w:val="24"/>
          <w:szCs w:val="24"/>
          <w:highlight w:val="none"/>
        </w:rPr>
      </w:pPr>
      <w:r>
        <w:rPr>
          <w:rFonts w:hint="eastAsia" w:ascii="宋体" w:hAnsi="宋体"/>
          <w:bCs/>
          <w:color w:val="auto"/>
          <w:sz w:val="24"/>
          <w:szCs w:val="24"/>
          <w:highlight w:val="none"/>
        </w:rPr>
        <w:t>采购项目编号：</w:t>
      </w:r>
    </w:p>
    <w:p w14:paraId="33528057">
      <w:pPr>
        <w:spacing w:line="480" w:lineRule="auto"/>
        <w:jc w:val="center"/>
        <w:outlineLvl w:val="9"/>
        <w:rPr>
          <w:rFonts w:hint="eastAsia" w:ascii="宋体" w:hAnsi="宋体"/>
          <w:bCs/>
          <w:color w:val="auto"/>
          <w:sz w:val="24"/>
          <w:szCs w:val="24"/>
          <w:highlight w:val="none"/>
        </w:rPr>
      </w:pPr>
      <w:r>
        <w:rPr>
          <w:rFonts w:hint="eastAsia" w:ascii="宋体" w:hAnsi="宋体"/>
          <w:bCs/>
          <w:color w:val="auto"/>
          <w:sz w:val="24"/>
          <w:szCs w:val="24"/>
          <w:highlight w:val="none"/>
        </w:rPr>
        <w:t>日期：</w:t>
      </w:r>
    </w:p>
    <w:p w14:paraId="00E66029">
      <w:pPr>
        <w:spacing w:line="600" w:lineRule="exact"/>
        <w:outlineLvl w:val="9"/>
        <w:rPr>
          <w:rFonts w:hint="eastAsia" w:ascii="宋体"/>
          <w:bCs/>
          <w:color w:val="auto"/>
          <w:sz w:val="24"/>
          <w:szCs w:val="24"/>
          <w:highlight w:val="none"/>
        </w:rPr>
      </w:pPr>
      <w:r>
        <w:rPr>
          <w:rFonts w:hint="eastAsia" w:ascii="宋体" w:hAnsi="宋体"/>
          <w:bCs/>
          <w:color w:val="auto"/>
          <w:sz w:val="24"/>
          <w:szCs w:val="24"/>
          <w:highlight w:val="none"/>
          <w:lang w:eastAsia="zh-CN"/>
        </w:rPr>
        <w:t>无锡彰誉技术咨询有限公司</w:t>
      </w:r>
      <w:r>
        <w:rPr>
          <w:rFonts w:hint="eastAsia" w:ascii="宋体" w:hAnsi="宋体"/>
          <w:bCs/>
          <w:color w:val="auto"/>
          <w:sz w:val="24"/>
          <w:szCs w:val="24"/>
          <w:highlight w:val="none"/>
        </w:rPr>
        <w:t>：</w:t>
      </w:r>
    </w:p>
    <w:p w14:paraId="7E943CE9">
      <w:pPr>
        <w:spacing w:line="600" w:lineRule="exact"/>
        <w:ind w:firstLine="480"/>
        <w:outlineLvl w:val="9"/>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代表我公司（单位）全权办理针对本项目（</w:t>
      </w:r>
      <w:r>
        <w:rPr>
          <w:rFonts w:hint="eastAsia" w:ascii="宋体" w:hAnsi="宋体"/>
          <w:bCs/>
          <w:color w:val="auto"/>
          <w:sz w:val="24"/>
          <w:szCs w:val="24"/>
          <w:highlight w:val="none"/>
          <w:lang w:val="en-US" w:eastAsia="zh-CN"/>
        </w:rPr>
        <w:t xml:space="preserve">项目名称：     </w:t>
      </w:r>
      <w:r>
        <w:rPr>
          <w:rFonts w:hint="eastAsia" w:ascii="宋体" w:hAnsi="宋体"/>
          <w:bCs/>
          <w:color w:val="auto"/>
          <w:sz w:val="24"/>
          <w:szCs w:val="24"/>
          <w:highlight w:val="none"/>
        </w:rPr>
        <w:t>）的投标、参与开标、评标、签约等具体工作，并签署全部有关的文件、协议及合同。</w:t>
      </w:r>
    </w:p>
    <w:p w14:paraId="7571DE6C">
      <w:pPr>
        <w:spacing w:line="580" w:lineRule="exact"/>
        <w:ind w:firstLine="480"/>
        <w:outlineLvl w:val="9"/>
        <w:rPr>
          <w:rFonts w:asci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14:paraId="5B635878">
      <w:pPr>
        <w:spacing w:line="580" w:lineRule="exact"/>
        <w:ind w:firstLine="480"/>
        <w:outlineLvl w:val="9"/>
        <w:rPr>
          <w:rFonts w:asci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14:paraId="51F50A19">
      <w:pPr>
        <w:spacing w:line="580" w:lineRule="exact"/>
        <w:ind w:firstLine="480"/>
        <w:outlineLvl w:val="9"/>
        <w:rPr>
          <w:rFonts w:ascii="宋体"/>
          <w:bCs/>
          <w:color w:val="auto"/>
          <w:sz w:val="24"/>
          <w:szCs w:val="24"/>
          <w:highlight w:val="none"/>
        </w:rPr>
      </w:pPr>
      <w:r>
        <w:rPr>
          <w:rFonts w:hint="eastAsia" w:ascii="宋体" w:hAnsi="宋体"/>
          <w:bCs/>
          <w:color w:val="auto"/>
          <w:sz w:val="24"/>
          <w:szCs w:val="24"/>
          <w:highlight w:val="none"/>
        </w:rPr>
        <w:t>被授权代表情况：</w:t>
      </w:r>
    </w:p>
    <w:p w14:paraId="5144C71E">
      <w:pPr>
        <w:spacing w:line="580" w:lineRule="exact"/>
        <w:ind w:firstLine="525"/>
        <w:outlineLvl w:val="9"/>
        <w:rPr>
          <w:rFonts w:ascii="宋体"/>
          <w:bCs/>
          <w:color w:val="auto"/>
          <w:sz w:val="24"/>
          <w:szCs w:val="24"/>
          <w:highlight w:val="none"/>
        </w:rPr>
      </w:pPr>
      <w:r>
        <w:rPr>
          <w:rFonts w:hint="eastAsia" w:ascii="宋体" w:hAnsi="宋体"/>
          <w:bCs/>
          <w:color w:val="auto"/>
          <w:sz w:val="24"/>
          <w:szCs w:val="24"/>
          <w:highlight w:val="none"/>
        </w:rPr>
        <w:t>姓名：</w:t>
      </w:r>
      <w:r>
        <w:rPr>
          <w:rFonts w:ascii="宋体" w:hAnsi="宋体"/>
          <w:bCs/>
          <w:color w:val="auto"/>
          <w:sz w:val="24"/>
          <w:szCs w:val="24"/>
          <w:highlight w:val="none"/>
        </w:rPr>
        <w:t xml:space="preserve">         </w:t>
      </w:r>
      <w:r>
        <w:rPr>
          <w:rFonts w:hint="eastAsia" w:ascii="宋体" w:hAnsi="宋体"/>
          <w:bCs/>
          <w:color w:val="auto"/>
          <w:sz w:val="24"/>
          <w:szCs w:val="24"/>
          <w:highlight w:val="none"/>
        </w:rPr>
        <w:t>性别：</w:t>
      </w:r>
      <w:r>
        <w:rPr>
          <w:rFonts w:ascii="宋体" w:hAnsi="宋体"/>
          <w:bCs/>
          <w:color w:val="auto"/>
          <w:sz w:val="24"/>
          <w:szCs w:val="24"/>
          <w:highlight w:val="none"/>
        </w:rPr>
        <w:t xml:space="preserve">       </w:t>
      </w:r>
      <w:r>
        <w:rPr>
          <w:rFonts w:hint="eastAsia" w:ascii="宋体" w:hAnsi="宋体"/>
          <w:bCs/>
          <w:color w:val="auto"/>
          <w:sz w:val="24"/>
          <w:szCs w:val="24"/>
          <w:highlight w:val="none"/>
        </w:rPr>
        <w:t>电话：</w:t>
      </w:r>
    </w:p>
    <w:p w14:paraId="2AD5A982">
      <w:pPr>
        <w:spacing w:line="580" w:lineRule="exact"/>
        <w:ind w:firstLine="3240"/>
        <w:outlineLvl w:val="9"/>
        <w:rPr>
          <w:rFonts w:ascii="宋体"/>
          <w:bCs/>
          <w:color w:val="auto"/>
          <w:sz w:val="24"/>
          <w:szCs w:val="24"/>
          <w:highlight w:val="none"/>
        </w:rPr>
      </w:pPr>
    </w:p>
    <w:p w14:paraId="11BB68D8">
      <w:pPr>
        <w:spacing w:line="580" w:lineRule="exact"/>
        <w:ind w:firstLine="3240"/>
        <w:outlineLvl w:val="9"/>
        <w:rPr>
          <w:rFonts w:ascii="宋体"/>
          <w:bCs/>
          <w:color w:val="auto"/>
          <w:sz w:val="24"/>
          <w:szCs w:val="24"/>
          <w:highlight w:val="none"/>
        </w:rPr>
      </w:pPr>
    </w:p>
    <w:p w14:paraId="717E0CDA">
      <w:pPr>
        <w:spacing w:line="580" w:lineRule="exact"/>
        <w:ind w:firstLine="3240"/>
        <w:outlineLvl w:val="9"/>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单位名称（盖章）：</w:t>
      </w:r>
    </w:p>
    <w:p w14:paraId="61CBA113">
      <w:pPr>
        <w:spacing w:line="580" w:lineRule="exact"/>
        <w:ind w:firstLine="4080"/>
        <w:outlineLvl w:val="9"/>
        <w:rPr>
          <w:rFonts w:ascii="宋体"/>
          <w:bCs/>
          <w:color w:val="auto"/>
          <w:sz w:val="24"/>
          <w:szCs w:val="24"/>
          <w:highlight w:val="none"/>
        </w:rPr>
      </w:pPr>
      <w:r>
        <w:rPr>
          <w:rFonts w:hint="eastAsia" w:ascii="宋体" w:hAnsi="宋体"/>
          <w:bCs/>
          <w:color w:val="auto"/>
          <w:sz w:val="24"/>
          <w:szCs w:val="24"/>
          <w:highlight w:val="none"/>
        </w:rPr>
        <w:t>法定代表人（签字或盖章）：</w:t>
      </w:r>
    </w:p>
    <w:p w14:paraId="14A291C6">
      <w:pPr>
        <w:spacing w:line="580" w:lineRule="exact"/>
        <w:ind w:firstLine="420"/>
        <w:outlineLvl w:val="9"/>
        <w:rPr>
          <w:rFonts w:ascii="宋体"/>
          <w:bCs/>
          <w:color w:val="auto"/>
          <w:sz w:val="24"/>
          <w:szCs w:val="24"/>
          <w:highlight w:val="none"/>
        </w:rPr>
      </w:pPr>
    </w:p>
    <w:p w14:paraId="022229E9">
      <w:pPr>
        <w:ind w:firstLine="480"/>
        <w:outlineLvl w:val="9"/>
        <w:rPr>
          <w:rFonts w:ascii="黑体" w:hAnsi="宋体" w:eastAsia="黑体"/>
          <w:bCs/>
          <w:color w:val="auto"/>
          <w:sz w:val="24"/>
          <w:szCs w:val="24"/>
          <w:highlight w:val="none"/>
        </w:rPr>
      </w:pPr>
    </w:p>
    <w:p w14:paraId="721F0321">
      <w:pPr>
        <w:pStyle w:val="6"/>
        <w:rPr>
          <w:color w:val="auto"/>
          <w:highlight w:val="none"/>
        </w:rPr>
        <w:sectPr>
          <w:pgSz w:w="11906" w:h="16838"/>
          <w:pgMar w:top="1134" w:right="1134" w:bottom="1134" w:left="1134" w:header="624" w:footer="907" w:gutter="0"/>
          <w:cols w:space="1701" w:num="1"/>
          <w:rtlGutter w:val="0"/>
          <w:docGrid w:linePitch="360" w:charSpace="0"/>
        </w:sectPr>
      </w:pPr>
    </w:p>
    <w:p w14:paraId="51CC4EDC">
      <w:pPr>
        <w:outlineLvl w:val="2"/>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（四）（投标供应商）中小企业声明函（格式）：</w:t>
      </w:r>
    </w:p>
    <w:p w14:paraId="5122D918">
      <w:pPr>
        <w:spacing w:line="480" w:lineRule="auto"/>
        <w:outlineLvl w:val="9"/>
        <w:rPr>
          <w:rFonts w:ascii="黑体" w:eastAsia="黑体"/>
          <w:bCs/>
          <w:color w:val="auto"/>
          <w:sz w:val="28"/>
          <w:szCs w:val="28"/>
          <w:highlight w:val="none"/>
        </w:rPr>
      </w:pPr>
    </w:p>
    <w:p w14:paraId="6F2BE5E2">
      <w:pPr>
        <w:jc w:val="center"/>
        <w:outlineLvl w:val="9"/>
        <w:rPr>
          <w:rFonts w:ascii="黑体" w:eastAsia="黑体"/>
          <w:bCs/>
          <w:color w:val="auto"/>
          <w:sz w:val="28"/>
          <w:szCs w:val="28"/>
          <w:highlight w:val="none"/>
        </w:rPr>
      </w:pPr>
      <w:r>
        <w:rPr>
          <w:rFonts w:ascii="黑体" w:eastAsia="黑体"/>
          <w:bCs/>
          <w:color w:val="auto"/>
          <w:sz w:val="28"/>
          <w:szCs w:val="28"/>
          <w:highlight w:val="none"/>
        </w:rPr>
        <w:t>中小企业声明函（</w:t>
      </w:r>
      <w:r>
        <w:rPr>
          <w:rFonts w:hint="eastAsia" w:ascii="黑体" w:eastAsia="黑体"/>
          <w:bCs/>
          <w:color w:val="auto"/>
          <w:sz w:val="28"/>
          <w:szCs w:val="28"/>
          <w:highlight w:val="none"/>
        </w:rPr>
        <w:t>货物</w:t>
      </w:r>
      <w:r>
        <w:rPr>
          <w:rFonts w:ascii="黑体" w:eastAsia="黑体"/>
          <w:bCs/>
          <w:color w:val="auto"/>
          <w:sz w:val="28"/>
          <w:szCs w:val="28"/>
          <w:highlight w:val="none"/>
        </w:rPr>
        <w:t>）</w:t>
      </w:r>
    </w:p>
    <w:p w14:paraId="2ADE01D8">
      <w:pPr>
        <w:spacing w:line="580" w:lineRule="exact"/>
        <w:ind w:firstLine="480"/>
        <w:outlineLvl w:val="9"/>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51117257">
      <w:pPr>
        <w:spacing w:line="580" w:lineRule="exact"/>
        <w:ind w:firstLine="480"/>
        <w:outlineLvl w:val="9"/>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lang w:eastAsia="zh-CN"/>
        </w:rPr>
        <w:t>招标文件</w:t>
      </w:r>
      <w:r>
        <w:rPr>
          <w:rFonts w:ascii="宋体" w:hAnsi="宋体"/>
          <w:bCs/>
          <w:color w:val="auto"/>
          <w:sz w:val="24"/>
          <w:szCs w:val="24"/>
          <w:highlight w:val="none"/>
          <w:u w:val="single"/>
        </w:rPr>
        <w:t>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0E28C8A6">
      <w:pPr>
        <w:spacing w:line="580" w:lineRule="exact"/>
        <w:ind w:firstLine="480"/>
        <w:outlineLvl w:val="9"/>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lang w:eastAsia="zh-CN"/>
        </w:rPr>
        <w:t>招标文件</w:t>
      </w:r>
      <w:r>
        <w:rPr>
          <w:rFonts w:ascii="宋体" w:hAnsi="宋体"/>
          <w:bCs/>
          <w:color w:val="auto"/>
          <w:sz w:val="24"/>
          <w:szCs w:val="24"/>
          <w:highlight w:val="none"/>
          <w:u w:val="single"/>
        </w:rPr>
        <w:t>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2D06211">
      <w:pPr>
        <w:spacing w:line="580" w:lineRule="exact"/>
        <w:ind w:firstLine="480"/>
        <w:outlineLvl w:val="9"/>
        <w:rPr>
          <w:rFonts w:ascii="宋体" w:hAnsi="宋体"/>
          <w:bCs/>
          <w:color w:val="auto"/>
          <w:sz w:val="24"/>
          <w:szCs w:val="24"/>
          <w:highlight w:val="none"/>
        </w:rPr>
      </w:pPr>
      <w:r>
        <w:rPr>
          <w:rFonts w:ascii="宋体" w:hAnsi="宋体"/>
          <w:bCs/>
          <w:color w:val="auto"/>
          <w:sz w:val="24"/>
          <w:szCs w:val="24"/>
          <w:highlight w:val="none"/>
        </w:rPr>
        <w:t>……</w:t>
      </w:r>
    </w:p>
    <w:p w14:paraId="535F647A">
      <w:pPr>
        <w:spacing w:line="580" w:lineRule="exact"/>
        <w:ind w:firstLine="480"/>
        <w:outlineLvl w:val="9"/>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1AEBF3C6">
      <w:pPr>
        <w:outlineLvl w:val="9"/>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 </w:t>
      </w:r>
    </w:p>
    <w:p w14:paraId="4E442BD1">
      <w:pPr>
        <w:outlineLvl w:val="9"/>
        <w:rPr>
          <w:rFonts w:ascii="黑体" w:hAnsi="宋体" w:eastAsia="黑体"/>
          <w:bCs/>
          <w:color w:val="auto"/>
          <w:sz w:val="24"/>
          <w:szCs w:val="24"/>
          <w:highlight w:val="none"/>
        </w:rPr>
      </w:pPr>
    </w:p>
    <w:p w14:paraId="2363DB92">
      <w:pPr>
        <w:spacing w:line="360" w:lineRule="auto"/>
        <w:ind w:firstLine="4800"/>
        <w:outlineLvl w:val="9"/>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231CE5C8">
      <w:pPr>
        <w:spacing w:line="360" w:lineRule="auto"/>
        <w:ind w:firstLine="4800"/>
        <w:outlineLvl w:val="9"/>
        <w:rPr>
          <w:rFonts w:ascii="宋体" w:hAnsi="宋体"/>
          <w:bCs/>
          <w:color w:val="auto"/>
          <w:sz w:val="24"/>
          <w:szCs w:val="24"/>
          <w:highlight w:val="none"/>
        </w:rPr>
      </w:pPr>
      <w:r>
        <w:rPr>
          <w:rFonts w:hint="eastAsia" w:ascii="宋体" w:hAnsi="宋体"/>
          <w:bCs/>
          <w:color w:val="auto"/>
          <w:sz w:val="24"/>
          <w:szCs w:val="24"/>
          <w:highlight w:val="none"/>
        </w:rPr>
        <w:t>日</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期：</w:t>
      </w:r>
    </w:p>
    <w:p w14:paraId="7BB90AA2">
      <w:pPr>
        <w:spacing w:line="360" w:lineRule="auto"/>
        <w:outlineLvl w:val="9"/>
        <w:rPr>
          <w:rFonts w:ascii="宋体" w:hAnsi="宋体"/>
          <w:bCs/>
          <w:color w:val="auto"/>
          <w:sz w:val="24"/>
          <w:szCs w:val="24"/>
          <w:highlight w:val="none"/>
        </w:rPr>
      </w:pPr>
    </w:p>
    <w:p w14:paraId="290DFA80">
      <w:pPr>
        <w:outlineLvl w:val="9"/>
        <w:rPr>
          <w:color w:val="auto"/>
          <w:highlight w:val="none"/>
        </w:rPr>
      </w:pPr>
      <w:r>
        <w:rPr>
          <w:rFonts w:hint="eastAsia"/>
          <w:color w:val="auto"/>
          <w:highlight w:val="none"/>
        </w:rPr>
        <w:t>注：1.</w:t>
      </w:r>
      <w:r>
        <w:rPr>
          <w:color w:val="auto"/>
          <w:highlight w:val="none"/>
        </w:rPr>
        <w:t>从业人员、营业收入、资产总额填报上一年度数据，无上一年度数据的新成立企业可不填报。</w:t>
      </w:r>
    </w:p>
    <w:p w14:paraId="280D622B">
      <w:pPr>
        <w:ind w:firstLine="420"/>
        <w:outlineLvl w:val="9"/>
        <w:rPr>
          <w:color w:val="auto"/>
          <w:highlight w:val="none"/>
        </w:rPr>
      </w:pPr>
      <w:r>
        <w:rPr>
          <w:rFonts w:hint="eastAsia"/>
          <w:color w:val="auto"/>
          <w:highlight w:val="none"/>
        </w:rPr>
        <w:t>2.中标供应商的《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377E50B6">
      <w:pPr>
        <w:outlineLvl w:val="9"/>
        <w:rPr>
          <w:rFonts w:hint="eastAsia"/>
          <w:color w:val="auto"/>
          <w:highlight w:val="none"/>
        </w:rPr>
        <w:sectPr>
          <w:pgSz w:w="11906" w:h="16838"/>
          <w:pgMar w:top="1134" w:right="1134" w:bottom="1134" w:left="1134" w:header="624" w:footer="907" w:gutter="0"/>
          <w:cols w:space="1701" w:num="1"/>
          <w:rtlGutter w:val="0"/>
          <w:docGrid w:linePitch="360" w:charSpace="0"/>
        </w:sectPr>
      </w:pPr>
    </w:p>
    <w:p w14:paraId="19A86FB3">
      <w:pPr>
        <w:outlineLvl w:val="2"/>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（五）（投标供应商）残疾人福利性单位声明函（格式）：</w:t>
      </w:r>
    </w:p>
    <w:p w14:paraId="56B1467C">
      <w:pPr>
        <w:spacing w:line="480" w:lineRule="auto"/>
        <w:outlineLvl w:val="9"/>
        <w:rPr>
          <w:rFonts w:ascii="宋体"/>
          <w:bCs/>
          <w:color w:val="auto"/>
          <w:sz w:val="24"/>
          <w:szCs w:val="24"/>
          <w:highlight w:val="none"/>
        </w:rPr>
      </w:pPr>
    </w:p>
    <w:p w14:paraId="3429D6FA">
      <w:pPr>
        <w:jc w:val="center"/>
        <w:outlineLvl w:val="9"/>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72DD3635">
      <w:pPr>
        <w:jc w:val="center"/>
        <w:outlineLvl w:val="9"/>
        <w:rPr>
          <w:rFonts w:ascii="黑体" w:eastAsia="黑体"/>
          <w:bCs/>
          <w:color w:val="auto"/>
          <w:sz w:val="28"/>
          <w:szCs w:val="28"/>
          <w:highlight w:val="none"/>
        </w:rPr>
      </w:pPr>
    </w:p>
    <w:p w14:paraId="7D5624BD">
      <w:pPr>
        <w:spacing w:line="580" w:lineRule="exact"/>
        <w:ind w:firstLine="480"/>
        <w:outlineLvl w:val="9"/>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p>
    <w:p w14:paraId="1D39AFB1">
      <w:pPr>
        <w:spacing w:line="580" w:lineRule="exact"/>
        <w:ind w:firstLine="480"/>
        <w:outlineLvl w:val="9"/>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4F0AEA92">
      <w:pPr>
        <w:spacing w:line="580" w:lineRule="exact"/>
        <w:ind w:firstLine="480"/>
        <w:outlineLvl w:val="9"/>
        <w:rPr>
          <w:rFonts w:ascii="宋体" w:hAnsi="宋体"/>
          <w:bCs/>
          <w:color w:val="auto"/>
          <w:sz w:val="24"/>
          <w:szCs w:val="24"/>
          <w:highlight w:val="none"/>
        </w:rPr>
      </w:pPr>
    </w:p>
    <w:p w14:paraId="5B4006B5">
      <w:pPr>
        <w:spacing w:line="580" w:lineRule="exact"/>
        <w:ind w:firstLine="480"/>
        <w:outlineLvl w:val="9"/>
        <w:rPr>
          <w:rFonts w:ascii="宋体" w:hAnsi="宋体"/>
          <w:bCs/>
          <w:color w:val="auto"/>
          <w:sz w:val="24"/>
          <w:szCs w:val="24"/>
          <w:highlight w:val="none"/>
        </w:rPr>
      </w:pPr>
    </w:p>
    <w:p w14:paraId="3F0F2462">
      <w:pPr>
        <w:spacing w:line="580" w:lineRule="exact"/>
        <w:ind w:firstLine="480"/>
        <w:outlineLvl w:val="9"/>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0BA1A857">
      <w:pPr>
        <w:spacing w:line="580" w:lineRule="exact"/>
        <w:ind w:firstLine="480"/>
        <w:outlineLvl w:val="9"/>
        <w:rPr>
          <w:rFonts w:ascii="宋体" w:hAnsi="宋体"/>
          <w:bCs/>
          <w:color w:val="auto"/>
          <w:sz w:val="24"/>
          <w:szCs w:val="24"/>
          <w:highlight w:val="none"/>
        </w:rPr>
      </w:pPr>
      <w:r>
        <w:rPr>
          <w:rFonts w:hint="eastAsia" w:ascii="宋体" w:hAnsi="宋体"/>
          <w:bCs/>
          <w:color w:val="auto"/>
          <w:sz w:val="24"/>
          <w:szCs w:val="24"/>
          <w:highlight w:val="none"/>
        </w:rPr>
        <w:t>日  期：</w:t>
      </w:r>
    </w:p>
    <w:p w14:paraId="755151BD">
      <w:pPr>
        <w:ind w:firstLine="480"/>
        <w:outlineLvl w:val="9"/>
        <w:rPr>
          <w:rFonts w:ascii="黑体" w:hAnsi="宋体" w:eastAsia="黑体"/>
          <w:bCs/>
          <w:color w:val="auto"/>
          <w:sz w:val="24"/>
          <w:szCs w:val="24"/>
          <w:highlight w:val="none"/>
        </w:rPr>
      </w:pPr>
    </w:p>
    <w:p w14:paraId="016A8643">
      <w:pPr>
        <w:ind w:firstLine="480"/>
        <w:outlineLvl w:val="9"/>
        <w:rPr>
          <w:rFonts w:ascii="黑体" w:hAnsi="宋体" w:eastAsia="黑体"/>
          <w:bCs/>
          <w:color w:val="auto"/>
          <w:sz w:val="24"/>
          <w:szCs w:val="24"/>
          <w:highlight w:val="none"/>
        </w:rPr>
      </w:pPr>
    </w:p>
    <w:p w14:paraId="57F8D375">
      <w:pPr>
        <w:ind w:firstLine="480"/>
        <w:outlineLvl w:val="9"/>
        <w:rPr>
          <w:rFonts w:hint="eastAsia" w:ascii="黑体" w:hAnsi="宋体" w:eastAsia="黑体"/>
          <w:bCs/>
          <w:color w:val="auto"/>
          <w:sz w:val="24"/>
          <w:szCs w:val="24"/>
          <w:highlight w:val="none"/>
        </w:rPr>
        <w:sectPr>
          <w:pgSz w:w="11906" w:h="16838"/>
          <w:pgMar w:top="1134" w:right="1134" w:bottom="1134" w:left="1134" w:header="624" w:footer="907" w:gutter="0"/>
          <w:cols w:space="1701" w:num="1"/>
          <w:rtlGutter w:val="0"/>
          <w:docGrid w:linePitch="360" w:charSpace="0"/>
        </w:sectPr>
      </w:pPr>
    </w:p>
    <w:p w14:paraId="5242C40A">
      <w:pPr>
        <w:outlineLvl w:val="2"/>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（六）开标一览表（格式）：</w:t>
      </w:r>
    </w:p>
    <w:p w14:paraId="3B0FA0AE">
      <w:pPr>
        <w:jc w:val="center"/>
        <w:outlineLvl w:val="9"/>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5F7D3BD0">
      <w:pPr>
        <w:spacing w:line="360" w:lineRule="auto"/>
        <w:outlineLvl w:val="9"/>
        <w:rPr>
          <w:rFonts w:hint="eastAsia" w:ascii="黑体" w:eastAsia="黑体"/>
          <w:bCs/>
          <w:color w:val="auto"/>
          <w:sz w:val="24"/>
          <w:szCs w:val="24"/>
          <w:highlight w:val="none"/>
        </w:rPr>
      </w:pPr>
    </w:p>
    <w:p w14:paraId="36268131">
      <w:p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投标供应商名称（盖章）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采购项目编号：</w:t>
      </w:r>
    </w:p>
    <w:tbl>
      <w:tblPr>
        <w:tblStyle w:val="39"/>
        <w:tblW w:w="95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67"/>
        <w:gridCol w:w="6972"/>
      </w:tblGrid>
      <w:tr w14:paraId="5D187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0" w:hRule="atLeast"/>
          <w:jc w:val="center"/>
        </w:trPr>
        <w:tc>
          <w:tcPr>
            <w:tcW w:w="2567" w:type="dxa"/>
            <w:noWrap w:val="0"/>
            <w:vAlign w:val="center"/>
          </w:tcPr>
          <w:p w14:paraId="006C63F7">
            <w:pPr>
              <w:keepNext w:val="0"/>
              <w:keepLines w:val="0"/>
              <w:suppressLineNumbers w:val="0"/>
              <w:spacing w:before="0" w:beforeAutospacing="0" w:after="0" w:afterAutospacing="0" w:line="400" w:lineRule="exact"/>
              <w:ind w:left="0" w:right="0"/>
              <w:jc w:val="center"/>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项目名称</w:t>
            </w:r>
          </w:p>
        </w:tc>
        <w:tc>
          <w:tcPr>
            <w:tcW w:w="6972" w:type="dxa"/>
            <w:noWrap w:val="0"/>
            <w:vAlign w:val="center"/>
          </w:tcPr>
          <w:p w14:paraId="403D4E55">
            <w:pPr>
              <w:pStyle w:val="2"/>
              <w:keepNext w:val="0"/>
              <w:keepLines w:val="0"/>
              <w:suppressLineNumbers w:val="0"/>
              <w:spacing w:before="0" w:beforeAutospacing="0" w:after="0" w:afterAutospacing="0" w:line="300" w:lineRule="auto"/>
              <w:ind w:left="0" w:right="0"/>
              <w:outlineLvl w:val="9"/>
              <w:rPr>
                <w:rFonts w:hint="eastAsia" w:ascii="宋体" w:hAnsi="宋体" w:eastAsia="宋体" w:cs="宋体"/>
                <w:color w:val="auto"/>
                <w:sz w:val="24"/>
                <w:szCs w:val="24"/>
                <w:highlight w:val="none"/>
                <w:u w:val="none"/>
                <w:lang w:val="en-US" w:eastAsia="zh-CN"/>
              </w:rPr>
            </w:pPr>
          </w:p>
        </w:tc>
      </w:tr>
      <w:tr w14:paraId="4DA49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6" w:hRule="atLeast"/>
          <w:jc w:val="center"/>
        </w:trPr>
        <w:tc>
          <w:tcPr>
            <w:tcW w:w="2567" w:type="dxa"/>
            <w:noWrap w:val="0"/>
            <w:vAlign w:val="center"/>
          </w:tcPr>
          <w:p w14:paraId="0AF7747E">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投标报价（元）</w:t>
            </w:r>
          </w:p>
        </w:tc>
        <w:tc>
          <w:tcPr>
            <w:tcW w:w="6972" w:type="dxa"/>
            <w:noWrap w:val="0"/>
            <w:vAlign w:val="center"/>
          </w:tcPr>
          <w:p w14:paraId="33EB61AE">
            <w:pPr>
              <w:pStyle w:val="2"/>
              <w:keepNext w:val="0"/>
              <w:keepLines w:val="0"/>
              <w:suppressLineNumbers w:val="0"/>
              <w:spacing w:before="0" w:beforeAutospacing="0" w:after="0" w:afterAutospacing="0" w:line="360" w:lineRule="auto"/>
              <w:ind w:left="0" w:right="0"/>
              <w:outlineLvl w:val="9"/>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大写：</w:t>
            </w:r>
            <w:r>
              <w:rPr>
                <w:rFonts w:hint="eastAsia" w:ascii="宋体" w:hAnsi="宋体" w:eastAsia="宋体" w:cs="宋体"/>
                <w:color w:val="auto"/>
                <w:sz w:val="24"/>
                <w:szCs w:val="24"/>
                <w:highlight w:val="none"/>
                <w:u w:val="single"/>
                <w:lang w:val="en-US" w:eastAsia="zh-CN"/>
              </w:rPr>
              <w:t xml:space="preserve">                                </w:t>
            </w:r>
          </w:p>
          <w:p w14:paraId="583903D1">
            <w:pPr>
              <w:pStyle w:val="2"/>
              <w:keepNext w:val="0"/>
              <w:keepLines w:val="0"/>
              <w:suppressLineNumbers w:val="0"/>
              <w:spacing w:before="0" w:beforeAutospacing="0" w:after="0" w:afterAutospacing="0" w:line="360" w:lineRule="auto"/>
              <w:ind w:left="0" w:right="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none"/>
                <w:lang w:val="en-US" w:eastAsia="zh-CN"/>
              </w:rPr>
              <w:t>小写：</w:t>
            </w:r>
            <w:r>
              <w:rPr>
                <w:rFonts w:hint="eastAsia" w:ascii="宋体" w:hAnsi="宋体" w:eastAsia="宋体" w:cs="宋体"/>
                <w:color w:val="auto"/>
                <w:sz w:val="24"/>
                <w:szCs w:val="24"/>
                <w:highlight w:val="none"/>
                <w:u w:val="single"/>
                <w:lang w:val="en-US" w:eastAsia="zh-CN"/>
              </w:rPr>
              <w:t xml:space="preserve">                                </w:t>
            </w:r>
          </w:p>
        </w:tc>
      </w:tr>
      <w:tr w14:paraId="3553F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7" w:hRule="atLeast"/>
          <w:jc w:val="center"/>
        </w:trPr>
        <w:tc>
          <w:tcPr>
            <w:tcW w:w="2567" w:type="dxa"/>
            <w:noWrap w:val="0"/>
            <w:vAlign w:val="center"/>
          </w:tcPr>
          <w:p w14:paraId="45CF8C53">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服务期限</w:t>
            </w:r>
          </w:p>
        </w:tc>
        <w:tc>
          <w:tcPr>
            <w:tcW w:w="6972" w:type="dxa"/>
            <w:noWrap w:val="0"/>
            <w:vAlign w:val="center"/>
          </w:tcPr>
          <w:p w14:paraId="474C1818">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两年（以合同签订日期为准）</w:t>
            </w:r>
          </w:p>
        </w:tc>
      </w:tr>
      <w:tr w14:paraId="073B8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7" w:hRule="atLeast"/>
          <w:jc w:val="center"/>
        </w:trPr>
        <w:tc>
          <w:tcPr>
            <w:tcW w:w="2567" w:type="dxa"/>
            <w:noWrap w:val="0"/>
            <w:vAlign w:val="center"/>
          </w:tcPr>
          <w:p w14:paraId="1CA053AF">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质量要求</w:t>
            </w:r>
          </w:p>
        </w:tc>
        <w:tc>
          <w:tcPr>
            <w:tcW w:w="6972" w:type="dxa"/>
            <w:noWrap w:val="0"/>
            <w:vAlign w:val="center"/>
          </w:tcPr>
          <w:p w14:paraId="6866FB6C">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符合国家相关标准要求，满足招标人要求。</w:t>
            </w:r>
          </w:p>
        </w:tc>
      </w:tr>
      <w:tr w14:paraId="710E8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3" w:hRule="atLeast"/>
          <w:jc w:val="center"/>
        </w:trPr>
        <w:tc>
          <w:tcPr>
            <w:tcW w:w="2567" w:type="dxa"/>
            <w:noWrap w:val="0"/>
            <w:vAlign w:val="center"/>
          </w:tcPr>
          <w:p w14:paraId="7FD71F6F">
            <w:pPr>
              <w:keepNext w:val="0"/>
              <w:keepLines w:val="0"/>
              <w:suppressLineNumbers w:val="0"/>
              <w:spacing w:before="0" w:beforeAutospacing="0" w:after="0" w:afterAutospacing="0" w:line="360" w:lineRule="auto"/>
              <w:ind w:left="0" w:right="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w:t>
            </w:r>
          </w:p>
        </w:tc>
        <w:tc>
          <w:tcPr>
            <w:tcW w:w="6972" w:type="dxa"/>
            <w:noWrap w:val="0"/>
            <w:vAlign w:val="center"/>
          </w:tcPr>
          <w:p w14:paraId="53042B1C">
            <w:pPr>
              <w:keepNext w:val="0"/>
              <w:keepLines w:val="0"/>
              <w:suppressLineNumbers w:val="0"/>
              <w:spacing w:before="0" w:beforeAutospacing="0" w:after="0" w:afterAutospacing="0" w:line="360" w:lineRule="auto"/>
              <w:ind w:left="0" w:right="0"/>
              <w:outlineLvl w:val="9"/>
              <w:rPr>
                <w:rFonts w:hint="eastAsia" w:ascii="宋体" w:hAnsi="宋体" w:eastAsia="宋体" w:cs="宋体"/>
                <w:color w:val="auto"/>
                <w:sz w:val="24"/>
                <w:szCs w:val="24"/>
                <w:highlight w:val="none"/>
              </w:rPr>
            </w:pPr>
          </w:p>
        </w:tc>
      </w:tr>
    </w:tbl>
    <w:p w14:paraId="0B3DE848">
      <w:pPr>
        <w:spacing w:before="5"/>
        <w:outlineLvl w:val="9"/>
        <w:rPr>
          <w:rFonts w:hint="eastAsia" w:ascii="宋体" w:hAnsi="宋体" w:eastAsia="宋体" w:cs="宋体"/>
          <w:b/>
          <w:bCs/>
          <w:color w:val="auto"/>
          <w:sz w:val="24"/>
          <w:szCs w:val="24"/>
          <w:highlight w:val="none"/>
        </w:rPr>
      </w:pPr>
    </w:p>
    <w:p w14:paraId="36BF2CAB">
      <w:pPr>
        <w:spacing w:before="5"/>
        <w:outlineLvl w:val="9"/>
        <w:rPr>
          <w:rFonts w:hint="eastAsia" w:ascii="宋体" w:hAnsi="宋体" w:eastAsia="宋体" w:cs="宋体"/>
          <w:b/>
          <w:bCs/>
          <w:color w:val="auto"/>
          <w:sz w:val="24"/>
          <w:szCs w:val="24"/>
          <w:highlight w:val="none"/>
        </w:rPr>
      </w:pPr>
    </w:p>
    <w:p w14:paraId="728AAF6F">
      <w:pPr>
        <w:spacing w:before="5"/>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182A0F4B">
      <w:pPr>
        <w:spacing w:line="400" w:lineRule="exact"/>
        <w:outlineLvl w:val="9"/>
        <w:rPr>
          <w:rFonts w:hint="eastAsia" w:ascii="宋体" w:hAnsi="宋体" w:eastAsia="宋体" w:cs="宋体"/>
          <w:bCs/>
          <w:color w:val="auto"/>
          <w:sz w:val="24"/>
          <w:szCs w:val="24"/>
          <w:highlight w:val="none"/>
        </w:rPr>
      </w:pPr>
    </w:p>
    <w:p w14:paraId="404BC224">
      <w:pP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3C1598E8">
      <w:pPr>
        <w:spacing w:line="500" w:lineRule="exact"/>
        <w:ind w:firstLine="480"/>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注：</w:t>
      </w:r>
      <w:r>
        <w:rPr>
          <w:rFonts w:hint="eastAsia" w:ascii="宋体" w:hAnsi="宋体" w:eastAsia="宋体" w:cs="宋体"/>
          <w:b w:val="0"/>
          <w:bCs/>
          <w:color w:val="auto"/>
          <w:sz w:val="24"/>
          <w:szCs w:val="24"/>
          <w:highlight w:val="none"/>
        </w:rPr>
        <w:t>开标一览表中的内容应与响应函内容一致，否则评标时一律按开标一览表中内容为准，开标一览表中必须盖章</w:t>
      </w:r>
      <w:r>
        <w:rPr>
          <w:rFonts w:hint="eastAsia" w:ascii="宋体" w:hAnsi="宋体" w:eastAsia="宋体" w:cs="宋体"/>
          <w:b w:val="0"/>
          <w:bCs/>
          <w:color w:val="auto"/>
          <w:sz w:val="24"/>
          <w:szCs w:val="24"/>
          <w:highlight w:val="none"/>
          <w:lang w:val="en-US" w:eastAsia="zh-CN"/>
        </w:rPr>
        <w:t>或</w:t>
      </w:r>
      <w:r>
        <w:rPr>
          <w:rFonts w:hint="eastAsia" w:ascii="宋体" w:hAnsi="宋体" w:eastAsia="宋体" w:cs="宋体"/>
          <w:b w:val="0"/>
          <w:bCs/>
          <w:color w:val="auto"/>
          <w:sz w:val="24"/>
          <w:szCs w:val="24"/>
          <w:highlight w:val="none"/>
        </w:rPr>
        <w:t>签字。</w:t>
      </w:r>
    </w:p>
    <w:p w14:paraId="7D045DAE">
      <w:pPr>
        <w:jc w:val="left"/>
        <w:outlineLvl w:val="9"/>
        <w:rPr>
          <w:rFonts w:hint="eastAsia" w:ascii="黑体" w:hAnsi="宋体" w:eastAsia="黑体"/>
          <w:bCs/>
          <w:color w:val="auto"/>
          <w:sz w:val="24"/>
          <w:szCs w:val="24"/>
          <w:highlight w:val="none"/>
          <w:u w:val="single"/>
        </w:rPr>
        <w:sectPr>
          <w:pgSz w:w="11906" w:h="16838"/>
          <w:pgMar w:top="1134" w:right="1134" w:bottom="1134" w:left="1134" w:header="624" w:footer="907" w:gutter="0"/>
          <w:cols w:space="1701" w:num="1"/>
          <w:rtlGutter w:val="0"/>
          <w:docGrid w:linePitch="360" w:charSpace="0"/>
        </w:sectPr>
      </w:pPr>
    </w:p>
    <w:p w14:paraId="26FF721C">
      <w:pPr>
        <w:outlineLvl w:val="2"/>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w:t>
      </w:r>
      <w:r>
        <w:rPr>
          <w:rFonts w:hint="eastAsia" w:ascii="黑体" w:hAnsi="宋体" w:eastAsia="黑体" w:cs="Times New Roman"/>
          <w:bCs/>
          <w:color w:val="auto"/>
          <w:sz w:val="24"/>
          <w:szCs w:val="24"/>
          <w:highlight w:val="none"/>
          <w:lang w:val="en-US" w:eastAsia="zh-CN"/>
        </w:rPr>
        <w:t>七</w:t>
      </w:r>
      <w:r>
        <w:rPr>
          <w:rFonts w:hint="eastAsia" w:ascii="黑体" w:hAnsi="宋体" w:eastAsia="黑体" w:cs="Times New Roman"/>
          <w:bCs/>
          <w:color w:val="auto"/>
          <w:sz w:val="24"/>
          <w:szCs w:val="24"/>
          <w:highlight w:val="none"/>
        </w:rPr>
        <w:t>）投标报价明细表（格式</w:t>
      </w:r>
      <w:r>
        <w:rPr>
          <w:rFonts w:hint="eastAsia" w:ascii="黑体" w:hAnsi="宋体" w:eastAsia="黑体" w:cs="Times New Roman"/>
          <w:bCs/>
          <w:color w:val="auto"/>
          <w:sz w:val="24"/>
          <w:szCs w:val="24"/>
          <w:highlight w:val="none"/>
          <w:lang w:val="en-US" w:eastAsia="zh-CN"/>
        </w:rPr>
        <w:t>自拟</w:t>
      </w:r>
      <w:r>
        <w:rPr>
          <w:rFonts w:hint="eastAsia" w:ascii="黑体" w:hAnsi="宋体" w:eastAsia="黑体" w:cs="Times New Roman"/>
          <w:bCs/>
          <w:color w:val="auto"/>
          <w:sz w:val="24"/>
          <w:szCs w:val="24"/>
          <w:highlight w:val="none"/>
        </w:rPr>
        <w:t>）</w:t>
      </w:r>
      <w:r>
        <w:rPr>
          <w:rFonts w:hint="eastAsia" w:ascii="黑体" w:hAnsi="宋体" w:eastAsia="黑体"/>
          <w:bCs/>
          <w:color w:val="auto"/>
          <w:sz w:val="24"/>
          <w:szCs w:val="24"/>
          <w:highlight w:val="none"/>
        </w:rPr>
        <w:t>：</w:t>
      </w:r>
    </w:p>
    <w:p w14:paraId="70610A96">
      <w:pPr>
        <w:spacing w:line="400" w:lineRule="exact"/>
        <w:jc w:val="center"/>
        <w:outlineLvl w:val="9"/>
        <w:rPr>
          <w:rFonts w:hint="eastAsia" w:ascii="黑体" w:hAnsi="Times New Roman" w:eastAsia="黑体" w:cs="Times New Roman"/>
          <w:bCs/>
          <w:color w:val="auto"/>
          <w:sz w:val="24"/>
          <w:szCs w:val="24"/>
          <w:highlight w:val="none"/>
        </w:rPr>
      </w:pPr>
      <w:r>
        <w:rPr>
          <w:rFonts w:hint="eastAsia" w:ascii="黑体" w:hAnsi="Times New Roman" w:eastAsia="黑体" w:cs="Times New Roman"/>
          <w:bCs/>
          <w:color w:val="auto"/>
          <w:sz w:val="24"/>
          <w:szCs w:val="24"/>
          <w:highlight w:val="none"/>
        </w:rPr>
        <w:t>投标报价明细表</w:t>
      </w:r>
    </w:p>
    <w:p w14:paraId="6766A6E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投标供应商（盖章）                                    采购编号：</w:t>
      </w:r>
    </w:p>
    <w:tbl>
      <w:tblPr>
        <w:tblStyle w:val="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712"/>
        <w:gridCol w:w="1708"/>
        <w:gridCol w:w="1085"/>
        <w:gridCol w:w="1044"/>
        <w:gridCol w:w="1614"/>
        <w:gridCol w:w="1678"/>
        <w:gridCol w:w="1322"/>
      </w:tblGrid>
      <w:tr w14:paraId="11A08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42" w:hRule="atLeast"/>
        </w:trPr>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A1F16">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序号</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8AF1A">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名称</w:t>
            </w:r>
          </w:p>
        </w:tc>
        <w:tc>
          <w:tcPr>
            <w:tcW w:w="1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F34C8">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单位</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6F0D1">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数量</w:t>
            </w: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96C81">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单价（元）</w:t>
            </w:r>
          </w:p>
        </w:tc>
        <w:tc>
          <w:tcPr>
            <w:tcW w:w="1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E247A">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合价（元）</w:t>
            </w:r>
          </w:p>
        </w:tc>
        <w:tc>
          <w:tcPr>
            <w:tcW w:w="13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F594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备注</w:t>
            </w:r>
          </w:p>
        </w:tc>
      </w:tr>
      <w:tr w14:paraId="6888E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39" w:hRule="atLeast"/>
        </w:trPr>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81903">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C9B75">
            <w:pPr>
              <w:keepNext w:val="0"/>
              <w:keepLines w:val="0"/>
              <w:widowControl w:val="0"/>
              <w:suppressLineNumbers w:val="0"/>
              <w:spacing w:before="0" w:beforeAutospacing="0" w:after="0" w:afterAutospacing="0"/>
              <w:ind w:left="0" w:right="0"/>
              <w:jc w:val="left"/>
              <w:rPr>
                <w:rFonts w:hint="eastAsia" w:ascii="宋体" w:hAnsi="宋体" w:eastAsia="宋体" w:cs="宋体"/>
                <w:color w:val="auto"/>
                <w:sz w:val="24"/>
                <w:szCs w:val="24"/>
                <w:highlight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522CC">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4F113">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46FE6">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8884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F6C0F">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r>
      <w:tr w14:paraId="06C2F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75" w:hRule="atLeast"/>
        </w:trPr>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A6B5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CBF71">
            <w:pPr>
              <w:keepNext w:val="0"/>
              <w:keepLines w:val="0"/>
              <w:widowControl w:val="0"/>
              <w:suppressLineNumbers w:val="0"/>
              <w:spacing w:before="0" w:beforeAutospacing="0" w:after="0" w:afterAutospacing="0"/>
              <w:ind w:left="0" w:right="0"/>
              <w:jc w:val="left"/>
              <w:rPr>
                <w:rFonts w:hint="eastAsia" w:ascii="宋体" w:hAnsi="宋体" w:eastAsia="宋体" w:cs="宋体"/>
                <w:color w:val="auto"/>
                <w:sz w:val="24"/>
                <w:szCs w:val="24"/>
                <w:highlight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82651">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07C3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7B22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E4A5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064B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r>
      <w:tr w14:paraId="0A75B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32" w:hRule="atLeast"/>
        </w:trPr>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003C5">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B7D13">
            <w:pPr>
              <w:keepNext w:val="0"/>
              <w:keepLines w:val="0"/>
              <w:widowControl w:val="0"/>
              <w:suppressLineNumbers w:val="0"/>
              <w:spacing w:before="0" w:beforeAutospacing="0" w:after="0" w:afterAutospacing="0"/>
              <w:ind w:left="0" w:right="0"/>
              <w:jc w:val="left"/>
              <w:rPr>
                <w:rFonts w:hint="eastAsia" w:ascii="宋体" w:hAnsi="宋体" w:eastAsia="宋体" w:cs="宋体"/>
                <w:color w:val="auto"/>
                <w:sz w:val="24"/>
                <w:szCs w:val="24"/>
                <w:highlight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E588F">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FA1C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D155A">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D3832">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CBF4F">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r>
      <w:tr w14:paraId="1AC5F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32" w:hRule="atLeast"/>
        </w:trPr>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2341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C30EF">
            <w:pPr>
              <w:keepNext w:val="0"/>
              <w:keepLines w:val="0"/>
              <w:widowControl w:val="0"/>
              <w:suppressLineNumbers w:val="0"/>
              <w:spacing w:before="0" w:beforeAutospacing="0" w:after="0" w:afterAutospacing="0"/>
              <w:ind w:left="0" w:right="0"/>
              <w:jc w:val="left"/>
              <w:rPr>
                <w:rFonts w:hint="eastAsia" w:ascii="宋体" w:hAnsi="宋体" w:eastAsia="宋体" w:cs="宋体"/>
                <w:color w:val="auto"/>
                <w:sz w:val="24"/>
                <w:szCs w:val="24"/>
                <w:highlight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8C4E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6479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12E41">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59FEB">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31FA2">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r>
      <w:tr w14:paraId="2A7D3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73" w:hRule="atLeast"/>
        </w:trPr>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80591">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86EDA">
            <w:pPr>
              <w:keepNext w:val="0"/>
              <w:keepLines w:val="0"/>
              <w:widowControl w:val="0"/>
              <w:suppressLineNumbers w:val="0"/>
              <w:spacing w:before="0" w:beforeAutospacing="0" w:after="0" w:afterAutospacing="0"/>
              <w:ind w:left="0" w:right="0"/>
              <w:jc w:val="left"/>
              <w:rPr>
                <w:rFonts w:hint="eastAsia" w:ascii="宋体" w:hAnsi="宋体" w:eastAsia="宋体" w:cs="宋体"/>
                <w:color w:val="auto"/>
                <w:sz w:val="24"/>
                <w:szCs w:val="24"/>
                <w:highlight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1FC4C">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5B5B6">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9CF9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33588">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8C008">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r>
      <w:tr w14:paraId="5100C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trPr>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F2491">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2013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A3213">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992D4">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492B2">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4D86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E00B1">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r>
      <w:tr w14:paraId="06440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3" w:hRule="atLeast"/>
        </w:trPr>
        <w:tc>
          <w:tcPr>
            <w:tcW w:w="616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021DF93">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总价（元）</w:t>
            </w:r>
          </w:p>
        </w:tc>
        <w:tc>
          <w:tcPr>
            <w:tcW w:w="1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AAF8A">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696B8">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p>
        </w:tc>
      </w:tr>
    </w:tbl>
    <w:p w14:paraId="62B87AA8">
      <w:pPr>
        <w:keepNext w:val="0"/>
        <w:keepLines w:val="0"/>
        <w:widowControl w:val="0"/>
        <w:suppressLineNumbers w:val="0"/>
        <w:spacing w:before="0" w:beforeAutospacing="0" w:after="0" w:afterAutospacing="0" w:line="360" w:lineRule="auto"/>
        <w:ind w:left="0" w:right="0" w:firstLine="422"/>
        <w:jc w:val="both"/>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备注：</w:t>
      </w:r>
    </w:p>
    <w:p w14:paraId="5794FE1F">
      <w:pPr>
        <w:keepNext w:val="0"/>
        <w:keepLines w:val="0"/>
        <w:widowControl w:val="0"/>
        <w:suppressLineNumbers w:val="0"/>
        <w:spacing w:before="0" w:beforeAutospacing="0" w:after="0" w:afterAutospacing="0" w:line="360" w:lineRule="auto"/>
        <w:ind w:left="0" w:right="0" w:firstLine="420"/>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（1）投标供应商应当根据“采购需求”的内容在上表中详细填写，包含但不限于以上内容，请各投标供应商自行补充完善；</w:t>
      </w:r>
    </w:p>
    <w:p w14:paraId="1EDF7AB0">
      <w:pPr>
        <w:keepNext w:val="0"/>
        <w:keepLines w:val="0"/>
        <w:widowControl w:val="0"/>
        <w:suppressLineNumbers w:val="0"/>
        <w:spacing w:before="0" w:beforeAutospacing="0" w:after="0" w:afterAutospacing="0" w:line="360" w:lineRule="auto"/>
        <w:ind w:left="0" w:right="0" w:firstLine="420"/>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（2）表格格式可自行改变、延长；</w:t>
      </w:r>
    </w:p>
    <w:p w14:paraId="00A93E80">
      <w:pPr>
        <w:keepNext w:val="0"/>
        <w:keepLines w:val="0"/>
        <w:widowControl w:val="0"/>
        <w:suppressLineNumbers w:val="0"/>
        <w:spacing w:before="0" w:beforeAutospacing="0" w:after="0" w:afterAutospacing="0" w:line="360" w:lineRule="auto"/>
        <w:ind w:left="0" w:right="0" w:firstLine="420"/>
        <w:jc w:val="both"/>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（3）投标供应商报价时应充分考虑服务期内所有可能</w:t>
      </w:r>
      <w:r>
        <w:rPr>
          <w:rFonts w:hint="eastAsia" w:ascii="宋体" w:hAnsi="宋体" w:cs="宋体"/>
          <w:color w:val="auto"/>
          <w:kern w:val="0"/>
          <w:sz w:val="21"/>
          <w:szCs w:val="21"/>
          <w:highlight w:val="none"/>
          <w:lang w:val="en-US" w:eastAsia="zh-CN" w:bidi="ar"/>
        </w:rPr>
        <w:t>影响</w:t>
      </w:r>
      <w:r>
        <w:rPr>
          <w:rFonts w:hint="eastAsia" w:ascii="宋体" w:hAnsi="宋体" w:eastAsia="宋体" w:cs="宋体"/>
          <w:color w:val="auto"/>
          <w:kern w:val="0"/>
          <w:sz w:val="21"/>
          <w:szCs w:val="21"/>
          <w:highlight w:val="none"/>
          <w:lang w:val="en-US" w:eastAsia="zh-CN" w:bidi="ar"/>
        </w:rPr>
        <w:t>报价的因素，一旦投标结束最终中标，总价将包定，不予调整。如发生漏、缺、少项，都将被认为是中标供应商的报价让利行为，损失自负</w:t>
      </w:r>
      <w:r>
        <w:rPr>
          <w:rFonts w:hint="eastAsia" w:ascii="宋体" w:hAnsi="宋体" w:cs="宋体"/>
          <w:color w:val="auto"/>
          <w:kern w:val="0"/>
          <w:sz w:val="21"/>
          <w:szCs w:val="21"/>
          <w:highlight w:val="none"/>
          <w:lang w:val="en-US" w:eastAsia="zh-CN" w:bidi="ar"/>
        </w:rPr>
        <w:t>。</w:t>
      </w:r>
    </w:p>
    <w:p w14:paraId="3000EAE5">
      <w:pPr>
        <w:keepNext w:val="0"/>
        <w:keepLines w:val="0"/>
        <w:widowControl w:val="0"/>
        <w:suppressLineNumbers w:val="0"/>
        <w:spacing w:before="0" w:beforeAutospacing="0" w:after="0" w:afterAutospacing="0" w:line="40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投标供应商（盖章）：</w:t>
      </w:r>
    </w:p>
    <w:p w14:paraId="7C3216D0">
      <w:pPr>
        <w:keepNext w:val="0"/>
        <w:keepLines w:val="0"/>
        <w:widowControl w:val="0"/>
        <w:suppressLineNumbers w:val="0"/>
        <w:spacing w:before="0" w:beforeAutospacing="0" w:after="0" w:afterAutospacing="0" w:line="40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法定代表人或授权代表签字或盖章：</w:t>
      </w:r>
    </w:p>
    <w:p w14:paraId="505CA163">
      <w:pPr>
        <w:keepNext w:val="0"/>
        <w:keepLines w:val="0"/>
        <w:widowControl w:val="0"/>
        <w:suppressLineNumbers w:val="0"/>
        <w:spacing w:before="0" w:beforeAutospacing="0" w:after="0" w:afterAutospacing="0" w:line="400" w:lineRule="exact"/>
        <w:ind w:left="0" w:right="0" w:firstLine="480"/>
        <w:jc w:val="both"/>
        <w:rPr>
          <w:rFonts w:hint="eastAsia" w:ascii="宋体" w:hAnsi="宋体" w:eastAsia="宋体" w:cs="宋体"/>
          <w:bCs/>
          <w:color w:val="auto"/>
          <w:sz w:val="24"/>
          <w:szCs w:val="24"/>
          <w:highlight w:val="none"/>
        </w:rPr>
      </w:pPr>
      <w:r>
        <w:rPr>
          <w:rFonts w:hint="eastAsia" w:ascii="宋体" w:hAnsi="宋体" w:eastAsia="宋体" w:cs="宋体"/>
          <w:color w:val="auto"/>
          <w:kern w:val="0"/>
          <w:sz w:val="24"/>
          <w:szCs w:val="24"/>
          <w:highlight w:val="none"/>
          <w:lang w:val="en-US" w:eastAsia="zh-CN" w:bidi="ar"/>
        </w:rPr>
        <w:t>日    期：</w:t>
      </w:r>
    </w:p>
    <w:p w14:paraId="6C7C16B4">
      <w:pPr>
        <w:keepNext w:val="0"/>
        <w:keepLines w:val="0"/>
        <w:pageBreakBefore w:val="0"/>
        <w:kinsoku/>
        <w:wordWrap/>
        <w:overflowPunct/>
        <w:topLinePunct w:val="0"/>
        <w:autoSpaceDN/>
        <w:bidi w:val="0"/>
        <w:adjustRightInd/>
        <w:snapToGrid/>
        <w:spacing w:line="360" w:lineRule="auto"/>
        <w:ind w:firstLine="420" w:firstLineChars="175"/>
        <w:outlineLvl w:val="0"/>
        <w:rPr>
          <w:rFonts w:ascii="宋体" w:hAnsi="宋体" w:cs="宋体"/>
          <w:color w:val="auto"/>
          <w:sz w:val="24"/>
          <w:highlight w:val="none"/>
        </w:rPr>
      </w:pPr>
    </w:p>
    <w:p w14:paraId="2FCF77F7">
      <w:pPr>
        <w:pStyle w:val="420"/>
        <w:keepNext w:val="0"/>
        <w:keepLines w:val="0"/>
        <w:pageBreakBefore w:val="0"/>
        <w:kinsoku/>
        <w:wordWrap/>
        <w:overflowPunct/>
        <w:topLinePunct w:val="0"/>
        <w:autoSpaceDN/>
        <w:bidi w:val="0"/>
        <w:adjustRightInd/>
        <w:snapToGrid/>
        <w:spacing w:line="360" w:lineRule="auto"/>
        <w:ind w:firstLine="0"/>
        <w:jc w:val="left"/>
        <w:outlineLvl w:val="9"/>
        <w:rPr>
          <w:rFonts w:hAnsi="宋体" w:cs="宋体"/>
          <w:bCs/>
          <w:color w:val="auto"/>
          <w:sz w:val="24"/>
          <w:szCs w:val="22"/>
          <w:highlight w:val="none"/>
        </w:rPr>
      </w:pPr>
    </w:p>
    <w:p w14:paraId="7E2941AF">
      <w:pPr>
        <w:jc w:val="left"/>
        <w:outlineLvl w:val="9"/>
        <w:rPr>
          <w:rFonts w:hint="eastAsia" w:ascii="黑体" w:hAnsi="宋体" w:eastAsia="黑体"/>
          <w:bCs/>
          <w:color w:val="auto"/>
          <w:sz w:val="24"/>
          <w:szCs w:val="24"/>
          <w:highlight w:val="none"/>
        </w:rPr>
      </w:pPr>
    </w:p>
    <w:p w14:paraId="72A34244">
      <w:pPr>
        <w:jc w:val="left"/>
        <w:outlineLvl w:val="9"/>
        <w:rPr>
          <w:rFonts w:hint="eastAsia" w:ascii="黑体" w:hAnsi="宋体" w:eastAsia="黑体"/>
          <w:bCs/>
          <w:color w:val="auto"/>
          <w:sz w:val="24"/>
          <w:szCs w:val="24"/>
          <w:highlight w:val="none"/>
        </w:rPr>
        <w:sectPr>
          <w:pgSz w:w="11906" w:h="16838"/>
          <w:pgMar w:top="1134" w:right="1134" w:bottom="1134" w:left="1134" w:header="624" w:footer="907" w:gutter="0"/>
          <w:cols w:space="1701" w:num="1"/>
          <w:rtlGutter w:val="0"/>
          <w:docGrid w:linePitch="360" w:charSpace="0"/>
        </w:sectPr>
      </w:pPr>
    </w:p>
    <w:p w14:paraId="1348B8A0">
      <w:pPr>
        <w:outlineLvl w:val="2"/>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w:t>
      </w:r>
      <w:r>
        <w:rPr>
          <w:rFonts w:hint="eastAsia" w:ascii="黑体" w:hAnsi="宋体" w:eastAsia="黑体" w:cs="Times New Roman"/>
          <w:bCs/>
          <w:color w:val="auto"/>
          <w:sz w:val="24"/>
          <w:szCs w:val="24"/>
          <w:highlight w:val="none"/>
          <w:lang w:val="en-US" w:eastAsia="zh-CN"/>
        </w:rPr>
        <w:t>八</w:t>
      </w:r>
      <w:r>
        <w:rPr>
          <w:rFonts w:hint="eastAsia" w:ascii="黑体" w:hAnsi="宋体" w:eastAsia="黑体" w:cs="Times New Roman"/>
          <w:bCs/>
          <w:color w:val="auto"/>
          <w:sz w:val="24"/>
          <w:szCs w:val="24"/>
          <w:highlight w:val="none"/>
        </w:rPr>
        <w:t>）</w:t>
      </w:r>
      <w:r>
        <w:rPr>
          <w:rFonts w:hint="eastAsia" w:ascii="黑体" w:hAnsi="宋体" w:eastAsia="黑体" w:cs="Times New Roman"/>
          <w:bCs/>
          <w:color w:val="auto"/>
          <w:sz w:val="24"/>
          <w:szCs w:val="24"/>
          <w:highlight w:val="none"/>
          <w:lang w:val="en-US" w:eastAsia="zh-CN"/>
        </w:rPr>
        <w:t>技术</w:t>
      </w:r>
      <w:r>
        <w:rPr>
          <w:rFonts w:hint="eastAsia" w:ascii="黑体" w:hAnsi="宋体" w:eastAsia="黑体" w:cs="Times New Roman"/>
          <w:bCs/>
          <w:color w:val="auto"/>
          <w:sz w:val="24"/>
          <w:szCs w:val="24"/>
          <w:highlight w:val="none"/>
        </w:rPr>
        <w:t>偏离表（格式）：</w:t>
      </w:r>
    </w:p>
    <w:p w14:paraId="7376918D">
      <w:pPr>
        <w:ind w:firstLine="490"/>
        <w:jc w:val="center"/>
        <w:outlineLvl w:val="9"/>
        <w:rPr>
          <w:rFonts w:ascii="黑体" w:eastAsia="黑体"/>
          <w:bCs/>
          <w:color w:val="auto"/>
          <w:sz w:val="28"/>
          <w:szCs w:val="28"/>
          <w:highlight w:val="none"/>
        </w:rPr>
      </w:pPr>
      <w:r>
        <w:rPr>
          <w:rFonts w:hint="eastAsia" w:ascii="黑体" w:eastAsia="黑体"/>
          <w:bCs/>
          <w:color w:val="auto"/>
          <w:sz w:val="28"/>
          <w:szCs w:val="28"/>
          <w:highlight w:val="none"/>
          <w:lang w:val="en-US" w:eastAsia="zh-CN"/>
        </w:rPr>
        <w:t>技术</w:t>
      </w:r>
      <w:r>
        <w:rPr>
          <w:rFonts w:hint="eastAsia" w:ascii="黑体" w:eastAsia="黑体"/>
          <w:bCs/>
          <w:color w:val="auto"/>
          <w:sz w:val="28"/>
          <w:szCs w:val="28"/>
          <w:highlight w:val="none"/>
        </w:rPr>
        <w:t>偏离表</w:t>
      </w:r>
    </w:p>
    <w:p w14:paraId="2E2A4FED">
      <w:pPr>
        <w:spacing w:line="400" w:lineRule="exact"/>
        <w:jc w:val="center"/>
        <w:outlineLvl w:val="9"/>
        <w:rPr>
          <w:rFonts w:ascii="黑体" w:eastAsia="黑体"/>
          <w:bCs/>
          <w:color w:val="auto"/>
          <w:sz w:val="28"/>
          <w:szCs w:val="28"/>
          <w:highlight w:val="none"/>
        </w:rPr>
      </w:pPr>
    </w:p>
    <w:p w14:paraId="61876A85">
      <w:pPr>
        <w:spacing w:line="400" w:lineRule="exact"/>
        <w:jc w:val="center"/>
        <w:outlineLvl w:val="9"/>
        <w:rPr>
          <w:rFonts w:ascii="黑体" w:eastAsia="黑体"/>
          <w:bCs/>
          <w:color w:val="auto"/>
          <w:sz w:val="28"/>
          <w:szCs w:val="28"/>
          <w:highlight w:val="none"/>
        </w:rPr>
      </w:pPr>
    </w:p>
    <w:p w14:paraId="5433841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投标供应商名称（盖章）</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采购项目编号：</w:t>
      </w:r>
    </w:p>
    <w:tbl>
      <w:tblPr>
        <w:tblStyle w:val="39"/>
        <w:tblW w:w="9885" w:type="dxa"/>
        <w:tblInd w:w="-15" w:type="dxa"/>
        <w:tblLayout w:type="fixed"/>
        <w:tblCellMar>
          <w:top w:w="15" w:type="dxa"/>
          <w:left w:w="15" w:type="dxa"/>
          <w:bottom w:w="0" w:type="dxa"/>
          <w:right w:w="15" w:type="dxa"/>
        </w:tblCellMar>
      </w:tblPr>
      <w:tblGrid>
        <w:gridCol w:w="1905"/>
        <w:gridCol w:w="2835"/>
        <w:gridCol w:w="2835"/>
        <w:gridCol w:w="2310"/>
      </w:tblGrid>
      <w:tr w14:paraId="30D70090">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78C0D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865E4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A1BAD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57A64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偏离说明</w:t>
            </w:r>
          </w:p>
        </w:tc>
      </w:tr>
      <w:tr w14:paraId="6F253290">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0512E9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9"/>
              <w:rPr>
                <w:rFonts w:hint="eastAsia" w:ascii="宋体" w:hAnsi="宋体" w:eastAsia="宋体" w:cs="宋体"/>
                <w:b w:val="0"/>
                <w:bCs/>
                <w:color w:val="auto"/>
                <w:szCs w:val="2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54BD1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outlineLvl w:val="9"/>
              <w:rPr>
                <w:rFonts w:hint="eastAsia" w:ascii="宋体" w:hAnsi="宋体" w:eastAsia="宋体" w:cs="宋体"/>
                <w:b w:val="0"/>
                <w:bCs/>
                <w:color w:val="auto"/>
                <w:szCs w:val="2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E39A0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9"/>
              <w:rPr>
                <w:rFonts w:hint="eastAsia" w:ascii="宋体" w:hAnsi="宋体" w:eastAsia="宋体" w:cs="宋体"/>
                <w:b w:val="0"/>
                <w:bCs/>
                <w:color w:val="auto"/>
                <w:szCs w:val="2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5E5E7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9"/>
              <w:rPr>
                <w:rFonts w:hint="eastAsia" w:ascii="宋体" w:hAnsi="宋体" w:eastAsia="宋体" w:cs="宋体"/>
                <w:b w:val="0"/>
                <w:bCs/>
                <w:color w:val="auto"/>
                <w:szCs w:val="20"/>
                <w:highlight w:val="none"/>
              </w:rPr>
            </w:pPr>
          </w:p>
        </w:tc>
      </w:tr>
    </w:tbl>
    <w:p w14:paraId="0A27D920">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val="0"/>
          <w:bCs/>
          <w:color w:val="auto"/>
          <w:sz w:val="24"/>
          <w:szCs w:val="24"/>
          <w:highlight w:val="none"/>
        </w:rPr>
      </w:pPr>
    </w:p>
    <w:p w14:paraId="4C15E0F1">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法定代表人或法定代表人授权代表签字或盖章：</w:t>
      </w:r>
    </w:p>
    <w:p w14:paraId="44ED14B3">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val="0"/>
          <w:bCs/>
          <w:color w:val="auto"/>
          <w:sz w:val="30"/>
          <w:highlight w:val="none"/>
        </w:rPr>
      </w:pPr>
    </w:p>
    <w:p w14:paraId="4A6D915D">
      <w:pPr>
        <w:keepNext w:val="0"/>
        <w:keepLines w:val="0"/>
        <w:widowControl w:val="0"/>
        <w:suppressLineNumbers w:val="0"/>
        <w:spacing w:before="0" w:beforeAutospacing="0" w:after="0" w:afterAutospacing="0" w:line="360" w:lineRule="auto"/>
        <w:ind w:left="0" w:right="0" w:firstLine="420"/>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b w:val="0"/>
          <w:bCs/>
          <w:color w:val="auto"/>
          <w:sz w:val="24"/>
          <w:szCs w:val="24"/>
          <w:highlight w:val="none"/>
        </w:rPr>
        <w:t>注：</w:t>
      </w:r>
      <w:r>
        <w:rPr>
          <w:rFonts w:hint="eastAsia" w:ascii="宋体" w:hAnsi="宋体" w:eastAsia="宋体" w:cs="宋体"/>
          <w:color w:val="auto"/>
          <w:kern w:val="0"/>
          <w:sz w:val="21"/>
          <w:szCs w:val="21"/>
          <w:highlight w:val="none"/>
          <w:lang w:val="en-US" w:eastAsia="zh-CN" w:bidi="ar"/>
        </w:rPr>
        <w:t>（1）本表不得删除；</w:t>
      </w:r>
    </w:p>
    <w:p w14:paraId="67BE9969">
      <w:pPr>
        <w:keepNext w:val="0"/>
        <w:keepLines w:val="0"/>
        <w:widowControl w:val="0"/>
        <w:suppressLineNumbers w:val="0"/>
        <w:spacing w:before="0" w:beforeAutospacing="0" w:after="0" w:afterAutospacing="0" w:line="360" w:lineRule="auto"/>
        <w:ind w:left="0" w:right="0" w:firstLine="420"/>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（2）如无任何技术偏离，请于本表 “偏离说明”中注明“无偏离”；</w:t>
      </w:r>
    </w:p>
    <w:p w14:paraId="60C01003">
      <w:pPr>
        <w:keepNext w:val="0"/>
        <w:keepLines w:val="0"/>
        <w:widowControl w:val="0"/>
        <w:suppressLineNumbers w:val="0"/>
        <w:spacing w:before="0" w:beforeAutospacing="0" w:after="0" w:afterAutospacing="0" w:line="360" w:lineRule="auto"/>
        <w:ind w:left="0" w:right="0" w:firstLine="420"/>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（3）如有技术偏离项，请于本表中列明偏离内容，如需要可自行延长，其余无偏离内容不须赘述。</w:t>
      </w:r>
    </w:p>
    <w:p w14:paraId="6CB63A4A">
      <w:pPr>
        <w:ind w:firstLine="420"/>
        <w:outlineLvl w:val="9"/>
        <w:rPr>
          <w:rFonts w:ascii="黑体" w:hAnsi="宋体" w:eastAsia="黑体"/>
          <w:bCs/>
          <w:color w:val="auto"/>
          <w:sz w:val="24"/>
          <w:szCs w:val="24"/>
          <w:highlight w:val="none"/>
        </w:rPr>
      </w:pPr>
    </w:p>
    <w:p w14:paraId="019807B5">
      <w:pPr>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br w:type="page"/>
      </w:r>
    </w:p>
    <w:p w14:paraId="463378EB">
      <w:pPr>
        <w:outlineLvl w:val="2"/>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lang w:eastAsia="zh-CN"/>
        </w:rPr>
        <w:t>（</w:t>
      </w:r>
      <w:r>
        <w:rPr>
          <w:rFonts w:hint="eastAsia" w:ascii="黑体" w:hAnsi="宋体" w:eastAsia="黑体" w:cs="Times New Roman"/>
          <w:bCs/>
          <w:color w:val="auto"/>
          <w:sz w:val="24"/>
          <w:szCs w:val="24"/>
          <w:highlight w:val="none"/>
          <w:lang w:val="en-US" w:eastAsia="zh-CN"/>
        </w:rPr>
        <w:t>九</w:t>
      </w:r>
      <w:r>
        <w:rPr>
          <w:rFonts w:hint="eastAsia" w:ascii="黑体" w:hAnsi="宋体" w:eastAsia="黑体" w:cs="Times New Roman"/>
          <w:bCs/>
          <w:color w:val="auto"/>
          <w:sz w:val="24"/>
          <w:szCs w:val="24"/>
          <w:highlight w:val="none"/>
          <w:lang w:eastAsia="zh-CN"/>
        </w:rPr>
        <w:t>）</w:t>
      </w:r>
      <w:r>
        <w:rPr>
          <w:rFonts w:hint="eastAsia" w:ascii="黑体" w:hAnsi="宋体" w:eastAsia="黑体" w:cs="Times New Roman"/>
          <w:bCs/>
          <w:color w:val="auto"/>
          <w:sz w:val="24"/>
          <w:szCs w:val="24"/>
          <w:highlight w:val="none"/>
        </w:rPr>
        <w:t>承诺书（格式）：</w:t>
      </w:r>
    </w:p>
    <w:p w14:paraId="4D842E47">
      <w:pPr>
        <w:jc w:val="center"/>
        <w:outlineLvl w:val="9"/>
        <w:rPr>
          <w:rFonts w:ascii="黑体" w:eastAsia="黑体"/>
          <w:bCs/>
          <w:color w:val="auto"/>
          <w:sz w:val="28"/>
          <w:szCs w:val="28"/>
          <w:highlight w:val="none"/>
        </w:rPr>
      </w:pPr>
      <w:r>
        <w:rPr>
          <w:rFonts w:hint="eastAsia" w:ascii="黑体" w:eastAsia="黑体"/>
          <w:bCs/>
          <w:color w:val="auto"/>
          <w:sz w:val="28"/>
          <w:szCs w:val="28"/>
          <w:highlight w:val="none"/>
        </w:rPr>
        <w:t>承诺书</w:t>
      </w:r>
    </w:p>
    <w:p w14:paraId="528ED504">
      <w:pPr>
        <w:jc w:val="center"/>
        <w:outlineLvl w:val="9"/>
        <w:rPr>
          <w:rFonts w:ascii="黑体" w:eastAsia="黑体"/>
          <w:bCs/>
          <w:color w:val="auto"/>
          <w:sz w:val="28"/>
          <w:szCs w:val="28"/>
          <w:highlight w:val="none"/>
        </w:rPr>
      </w:pPr>
    </w:p>
    <w:p w14:paraId="0090BD07">
      <w:pPr>
        <w:spacing w:line="480" w:lineRule="auto"/>
        <w:outlineLvl w:val="9"/>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（投标供应商名称）针</w:t>
      </w:r>
      <w:r>
        <w:rPr>
          <w:rFonts w:hint="eastAsia" w:ascii="宋体" w:hAnsi="宋体"/>
          <w:bCs/>
          <w:color w:val="auto"/>
          <w:sz w:val="24"/>
          <w:szCs w:val="24"/>
          <w:highlight w:val="none"/>
        </w:rPr>
        <w:t>对本项目（</w:t>
      </w:r>
      <w:r>
        <w:rPr>
          <w:rFonts w:hint="eastAsia" w:ascii="宋体" w:hAnsi="宋体"/>
          <w:bCs/>
          <w:color w:val="auto"/>
          <w:sz w:val="24"/>
          <w:szCs w:val="24"/>
          <w:highlight w:val="none"/>
          <w:lang w:val="en-US" w:eastAsia="zh-CN"/>
        </w:rPr>
        <w:t xml:space="preserve">项目名称：   </w:t>
      </w:r>
      <w:r>
        <w:rPr>
          <w:rFonts w:hint="eastAsia" w:ascii="宋体" w:hAnsi="宋体"/>
          <w:bCs/>
          <w:color w:val="auto"/>
          <w:sz w:val="24"/>
          <w:szCs w:val="24"/>
          <w:highlight w:val="none"/>
        </w:rPr>
        <w:t>）</w:t>
      </w:r>
      <w:r>
        <w:rPr>
          <w:rFonts w:hint="eastAsia" w:ascii="宋体" w:hAnsi="宋体"/>
          <w:color w:val="auto"/>
          <w:sz w:val="24"/>
          <w:szCs w:val="24"/>
          <w:highlight w:val="none"/>
        </w:rPr>
        <w:t>在此承诺：</w:t>
      </w:r>
    </w:p>
    <w:p w14:paraId="64E8B44F">
      <w:pPr>
        <w:spacing w:line="480" w:lineRule="auto"/>
        <w:outlineLvl w:val="9"/>
        <w:rPr>
          <w:rFonts w:ascii="宋体" w:hAnsi="宋体"/>
          <w:color w:val="auto"/>
          <w:sz w:val="24"/>
          <w:szCs w:val="24"/>
          <w:highlight w:val="none"/>
        </w:rPr>
      </w:pPr>
    </w:p>
    <w:p w14:paraId="72DA4DB2">
      <w:pPr>
        <w:spacing w:line="360" w:lineRule="auto"/>
        <w:ind w:firstLine="480"/>
        <w:outlineLvl w:val="9"/>
        <w:rPr>
          <w:rFonts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olor w:val="auto"/>
          <w:sz w:val="24"/>
          <w:szCs w:val="24"/>
          <w:highlight w:val="none"/>
        </w:rPr>
        <w:t>本公司（单位）</w:t>
      </w:r>
      <w:r>
        <w:rPr>
          <w:rFonts w:hint="eastAsia" w:ascii="宋体" w:hAnsi="宋体"/>
          <w:bCs/>
          <w:color w:val="auto"/>
          <w:sz w:val="24"/>
          <w:szCs w:val="24"/>
          <w:highlight w:val="none"/>
        </w:rPr>
        <w:t>对本项目所提供的服务符合招标文件要求；</w:t>
      </w:r>
    </w:p>
    <w:p w14:paraId="523AB8B2">
      <w:pPr>
        <w:tabs>
          <w:tab w:val="left" w:pos="945"/>
        </w:tabs>
        <w:spacing w:line="360" w:lineRule="auto"/>
        <w:ind w:firstLine="465"/>
        <w:outlineLvl w:val="9"/>
        <w:rPr>
          <w:rFonts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olor w:val="auto"/>
          <w:sz w:val="24"/>
          <w:szCs w:val="24"/>
          <w:highlight w:val="none"/>
        </w:rPr>
        <w:t>本公司（单位）</w:t>
      </w:r>
      <w:r>
        <w:rPr>
          <w:rFonts w:hint="eastAsia" w:ascii="宋体" w:hAnsi="宋体"/>
          <w:bCs/>
          <w:color w:val="auto"/>
          <w:sz w:val="24"/>
          <w:szCs w:val="24"/>
          <w:highlight w:val="none"/>
        </w:rPr>
        <w:t>具备履行合同所必需的人员、设备和专业技术能力；</w:t>
      </w:r>
    </w:p>
    <w:p w14:paraId="32ABFFBE">
      <w:pPr>
        <w:spacing w:line="360" w:lineRule="auto"/>
        <w:ind w:firstLine="480"/>
        <w:outlineLvl w:val="9"/>
        <w:rPr>
          <w:rFonts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olor w:val="auto"/>
          <w:sz w:val="24"/>
          <w:szCs w:val="24"/>
          <w:highlight w:val="none"/>
        </w:rPr>
        <w:t>本公司未被“</w:t>
      </w:r>
      <w:r>
        <w:rPr>
          <w:rFonts w:hint="eastAsia" w:ascii="宋体" w:hAnsi="宋体"/>
          <w:bCs/>
          <w:color w:val="auto"/>
          <w:sz w:val="24"/>
          <w:szCs w:val="24"/>
          <w:highlight w:val="none"/>
        </w:rPr>
        <w:t>信用中国</w:t>
      </w:r>
      <w:r>
        <w:rPr>
          <w:rFonts w:hint="eastAsia" w:ascii="宋体" w:hAnsi="宋体"/>
          <w:color w:val="auto"/>
          <w:sz w:val="24"/>
          <w:szCs w:val="24"/>
          <w:highlight w:val="none"/>
        </w:rPr>
        <w:t>”</w:t>
      </w:r>
      <w:r>
        <w:rPr>
          <w:rFonts w:hint="eastAsia" w:ascii="宋体" w:hAnsi="宋体"/>
          <w:bCs/>
          <w:color w:val="auto"/>
          <w:sz w:val="24"/>
          <w:szCs w:val="24"/>
          <w:highlight w:val="none"/>
        </w:rPr>
        <w:t>网站（</w:t>
      </w:r>
      <w:r>
        <w:rPr>
          <w:rFonts w:hint="eastAsia" w:ascii="宋体" w:hAnsi="宋体"/>
          <w:bCs/>
          <w:color w:val="auto"/>
          <w:sz w:val="24"/>
          <w:szCs w:val="24"/>
          <w:highlight w:val="none"/>
          <w:u w:val="none"/>
        </w:rPr>
        <w:t>www.creditchina.gov.cn</w:t>
      </w:r>
      <w:r>
        <w:rPr>
          <w:rFonts w:hint="eastAsia" w:ascii="宋体" w:hAnsi="宋体"/>
          <w:bCs/>
          <w:color w:val="auto"/>
          <w:sz w:val="24"/>
          <w:szCs w:val="24"/>
          <w:highlight w:val="none"/>
        </w:rPr>
        <w:t>）、</w:t>
      </w:r>
      <w:r>
        <w:rPr>
          <w:rFonts w:hint="eastAsia" w:ascii="宋体" w:hAnsi="宋体"/>
          <w:color w:val="auto"/>
          <w:sz w:val="24"/>
          <w:szCs w:val="24"/>
          <w:highlight w:val="none"/>
        </w:rPr>
        <w:t>中国政府采购网</w:t>
      </w:r>
      <w:r>
        <w:rPr>
          <w:rFonts w:hint="eastAsia" w:ascii="宋体" w:hAnsi="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color w:val="auto"/>
          <w:sz w:val="24"/>
          <w:szCs w:val="24"/>
          <w:highlight w:val="none"/>
          <w:lang w:eastAsia="zh-CN"/>
        </w:rPr>
        <w:t>）</w:t>
      </w:r>
      <w:r>
        <w:rPr>
          <w:rFonts w:hint="eastAsia" w:ascii="宋体" w:hAnsi="宋体"/>
          <w:color w:val="auto"/>
          <w:sz w:val="24"/>
          <w:szCs w:val="24"/>
          <w:highlight w:val="none"/>
        </w:rPr>
        <w:t>列入失信被执行人、重大税收违法案件当事人名单、政府采购严重违法失信行为记录名单</w:t>
      </w:r>
      <w:r>
        <w:rPr>
          <w:rFonts w:hint="eastAsia" w:ascii="宋体" w:hAnsi="宋体"/>
          <w:bCs/>
          <w:color w:val="auto"/>
          <w:sz w:val="24"/>
          <w:szCs w:val="24"/>
          <w:highlight w:val="none"/>
        </w:rPr>
        <w:t>；</w:t>
      </w:r>
    </w:p>
    <w:p w14:paraId="798DBA0D">
      <w:pPr>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w:t>
      </w:r>
    </w:p>
    <w:p w14:paraId="142A131F">
      <w:pPr>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w:t>
      </w:r>
    </w:p>
    <w:p w14:paraId="5B4F6C74">
      <w:pPr>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eastAsia="zh-CN"/>
        </w:rPr>
        <w:t>.</w:t>
      </w:r>
    </w:p>
    <w:p w14:paraId="4D6A292B">
      <w:pPr>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7</w:t>
      </w:r>
      <w:r>
        <w:rPr>
          <w:rFonts w:hint="eastAsia" w:ascii="宋体" w:hAnsi="宋体" w:cs="宋体"/>
          <w:color w:val="auto"/>
          <w:sz w:val="24"/>
          <w:szCs w:val="24"/>
          <w:highlight w:val="none"/>
          <w:lang w:eastAsia="zh-CN"/>
        </w:rPr>
        <w:t>.</w:t>
      </w:r>
    </w:p>
    <w:p w14:paraId="3BBDB796">
      <w:pPr>
        <w:tabs>
          <w:tab w:val="left" w:pos="945"/>
        </w:tabs>
        <w:spacing w:line="360" w:lineRule="auto"/>
        <w:ind w:firstLine="465"/>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8</w:t>
      </w:r>
      <w:r>
        <w:rPr>
          <w:rFonts w:hint="eastAsia" w:ascii="宋体" w:hAnsi="宋体" w:cs="宋体"/>
          <w:color w:val="auto"/>
          <w:sz w:val="24"/>
          <w:szCs w:val="24"/>
          <w:highlight w:val="none"/>
          <w:lang w:eastAsia="zh-CN"/>
        </w:rPr>
        <w:t>.</w:t>
      </w:r>
    </w:p>
    <w:p w14:paraId="26BD2736">
      <w:pPr>
        <w:spacing w:line="480" w:lineRule="auto"/>
        <w:ind w:firstLine="960"/>
        <w:outlineLvl w:val="9"/>
        <w:rPr>
          <w:rFonts w:ascii="宋体" w:hAnsi="宋体"/>
          <w:bCs/>
          <w:color w:val="auto"/>
          <w:sz w:val="24"/>
          <w:szCs w:val="24"/>
          <w:highlight w:val="none"/>
        </w:rPr>
      </w:pPr>
      <w:r>
        <w:rPr>
          <w:rFonts w:ascii="宋体" w:hAnsi="宋体"/>
          <w:bCs/>
          <w:color w:val="auto"/>
          <w:sz w:val="24"/>
          <w:szCs w:val="24"/>
          <w:highlight w:val="none"/>
        </w:rPr>
        <w:t>…………………</w:t>
      </w:r>
    </w:p>
    <w:p w14:paraId="2980AB70">
      <w:pPr>
        <w:spacing w:line="480" w:lineRule="auto"/>
        <w:ind w:firstLine="960"/>
        <w:outlineLvl w:val="9"/>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4B921A19">
      <w:pPr>
        <w:spacing w:line="480" w:lineRule="auto"/>
        <w:outlineLvl w:val="9"/>
        <w:rPr>
          <w:rFonts w:ascii="宋体" w:hAnsi="宋体"/>
          <w:bCs/>
          <w:color w:val="auto"/>
          <w:sz w:val="24"/>
          <w:szCs w:val="24"/>
          <w:highlight w:val="none"/>
        </w:rPr>
      </w:pPr>
    </w:p>
    <w:p w14:paraId="16EC0930">
      <w:pPr>
        <w:spacing w:line="480" w:lineRule="auto"/>
        <w:ind w:firstLine="3720"/>
        <w:outlineLvl w:val="9"/>
        <w:rPr>
          <w:rFonts w:ascii="宋体" w:hAnsi="宋体"/>
          <w:bCs/>
          <w:color w:val="auto"/>
          <w:sz w:val="24"/>
          <w:szCs w:val="24"/>
          <w:highlight w:val="none"/>
        </w:rPr>
      </w:pPr>
      <w:r>
        <w:rPr>
          <w:rFonts w:hint="eastAsia" w:ascii="宋体" w:hAnsi="宋体"/>
          <w:color w:val="auto"/>
          <w:sz w:val="24"/>
          <w:szCs w:val="24"/>
          <w:highlight w:val="none"/>
        </w:rPr>
        <w:t>投标供应商</w:t>
      </w:r>
      <w:r>
        <w:rPr>
          <w:rFonts w:hint="eastAsia" w:ascii="宋体" w:hAnsi="宋体"/>
          <w:bCs/>
          <w:color w:val="auto"/>
          <w:sz w:val="24"/>
          <w:szCs w:val="24"/>
          <w:highlight w:val="none"/>
        </w:rPr>
        <w:t>（盖章）：</w:t>
      </w:r>
    </w:p>
    <w:p w14:paraId="0D93CBAA">
      <w:pPr>
        <w:spacing w:line="480" w:lineRule="auto"/>
        <w:ind w:firstLine="480"/>
        <w:outlineLvl w:val="9"/>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1E3193C3">
      <w:pPr>
        <w:spacing w:line="480" w:lineRule="auto"/>
        <w:ind w:firstLine="480"/>
        <w:outlineLvl w:val="9"/>
        <w:rPr>
          <w:rFonts w:ascii="宋体" w:hAnsi="宋体"/>
          <w:bCs/>
          <w:color w:val="auto"/>
          <w:sz w:val="24"/>
          <w:szCs w:val="24"/>
          <w:highlight w:val="none"/>
        </w:rPr>
      </w:pPr>
    </w:p>
    <w:p w14:paraId="0368AE34">
      <w:pPr>
        <w:spacing w:line="480" w:lineRule="auto"/>
        <w:ind w:firstLine="480"/>
        <w:outlineLvl w:val="9"/>
        <w:rPr>
          <w:rFonts w:hint="eastAsia" w:ascii="宋体" w:hAnsi="宋体"/>
          <w:bCs/>
          <w:color w:val="auto"/>
          <w:sz w:val="24"/>
          <w:szCs w:val="24"/>
          <w:highlight w:val="none"/>
        </w:rPr>
      </w:pPr>
      <w:r>
        <w:rPr>
          <w:rFonts w:hint="eastAsia" w:ascii="宋体" w:hAnsi="宋体"/>
          <w:bCs/>
          <w:color w:val="auto"/>
          <w:sz w:val="24"/>
          <w:szCs w:val="24"/>
          <w:highlight w:val="none"/>
        </w:rPr>
        <w:t>注：以上内容由投标单位根据采购要求可自行完善。</w:t>
      </w:r>
    </w:p>
    <w:p w14:paraId="2139407B">
      <w:pPr>
        <w:ind w:firstLine="480"/>
        <w:outlineLvl w:val="9"/>
        <w:rPr>
          <w:rFonts w:hint="eastAsia" w:ascii="黑体" w:hAnsi="宋体" w:eastAsia="黑体"/>
          <w:bCs/>
          <w:color w:val="auto"/>
          <w:sz w:val="24"/>
          <w:szCs w:val="24"/>
          <w:highlight w:val="none"/>
        </w:rPr>
      </w:pPr>
    </w:p>
    <w:p w14:paraId="07BF3019">
      <w:pPr>
        <w:ind w:firstLine="420"/>
        <w:outlineLvl w:val="9"/>
        <w:rPr>
          <w:rFonts w:ascii="黑体" w:hAnsi="宋体" w:eastAsia="黑体"/>
          <w:bCs/>
          <w:color w:val="auto"/>
          <w:sz w:val="24"/>
          <w:szCs w:val="24"/>
          <w:highlight w:val="none"/>
        </w:rPr>
      </w:pPr>
    </w:p>
    <w:p w14:paraId="25982B33">
      <w:pPr>
        <w:ind w:firstLine="420"/>
        <w:outlineLvl w:val="9"/>
        <w:rPr>
          <w:rFonts w:ascii="黑体" w:hAnsi="宋体" w:eastAsia="黑体"/>
          <w:bCs/>
          <w:color w:val="auto"/>
          <w:sz w:val="24"/>
          <w:szCs w:val="24"/>
          <w:highlight w:val="none"/>
        </w:rPr>
        <w:sectPr>
          <w:pgSz w:w="11906" w:h="16838"/>
          <w:pgMar w:top="1134" w:right="1134" w:bottom="1134" w:left="1134" w:header="624" w:footer="907" w:gutter="0"/>
          <w:cols w:space="1701" w:num="1"/>
          <w:rtlGutter w:val="0"/>
          <w:docGrid w:linePitch="360" w:charSpace="0"/>
        </w:sectPr>
      </w:pPr>
    </w:p>
    <w:p w14:paraId="1800F617">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w:t>
      </w:r>
      <w:r>
        <w:rPr>
          <w:rFonts w:hint="eastAsia" w:ascii="黑体" w:hAnsi="宋体" w:eastAsia="黑体" w:cs="Times New Roman"/>
          <w:bCs/>
          <w:color w:val="auto"/>
          <w:sz w:val="24"/>
          <w:szCs w:val="24"/>
          <w:highlight w:val="none"/>
          <w:lang w:val="en-US" w:eastAsia="zh-CN"/>
        </w:rPr>
        <w:t>十</w:t>
      </w:r>
      <w:r>
        <w:rPr>
          <w:rFonts w:hint="eastAsia" w:ascii="黑体" w:hAnsi="宋体" w:eastAsia="黑体" w:cs="Times New Roman"/>
          <w:bCs/>
          <w:color w:val="auto"/>
          <w:sz w:val="24"/>
          <w:szCs w:val="24"/>
          <w:highlight w:val="none"/>
        </w:rPr>
        <w:t>）拟投入本项目的人员一览表（格式）</w:t>
      </w:r>
    </w:p>
    <w:p w14:paraId="2A7C09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0"/>
        <w:rPr>
          <w:rFonts w:hint="eastAsia" w:ascii="黑体" w:hAnsi="Times New Roman" w:eastAsia="黑体" w:cs="Times New Roman"/>
          <w:bCs/>
          <w:color w:val="auto"/>
          <w:sz w:val="28"/>
          <w:szCs w:val="28"/>
          <w:highlight w:val="none"/>
        </w:rPr>
      </w:pPr>
      <w:r>
        <w:rPr>
          <w:rFonts w:hint="eastAsia" w:ascii="黑体" w:hAnsi="宋体" w:eastAsia="黑体" w:cs="黑体"/>
          <w:bCs/>
          <w:color w:val="auto"/>
          <w:kern w:val="0"/>
          <w:sz w:val="28"/>
          <w:szCs w:val="28"/>
          <w:highlight w:val="none"/>
          <w:lang w:val="en-US" w:eastAsia="zh-CN" w:bidi="ar"/>
        </w:rPr>
        <w:t>拟投入本项目的人员一览表</w:t>
      </w:r>
    </w:p>
    <w:tbl>
      <w:tblPr>
        <w:tblStyle w:val="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1006"/>
        <w:gridCol w:w="2235"/>
        <w:gridCol w:w="1320"/>
        <w:gridCol w:w="1410"/>
        <w:gridCol w:w="1339"/>
        <w:gridCol w:w="2113"/>
      </w:tblGrid>
      <w:tr w14:paraId="132BC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86" w:hRule="atLeast"/>
          <w:jc w:val="center"/>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2EF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序 号</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D28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24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姓 名</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827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年 龄</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C6C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性 别</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968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学 历</w:t>
            </w:r>
          </w:p>
        </w:tc>
        <w:tc>
          <w:tcPr>
            <w:tcW w:w="2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6FF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在本项目拟任</w:t>
            </w:r>
          </w:p>
          <w:p w14:paraId="273C4E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职务</w:t>
            </w:r>
          </w:p>
        </w:tc>
      </w:tr>
      <w:tr w14:paraId="5C32C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86" w:hRule="atLeast"/>
          <w:jc w:val="center"/>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FC7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BC6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040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F1F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CC1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E16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r>
      <w:tr w14:paraId="52938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E35E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83B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FC9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D9F2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4AD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73E6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r>
      <w:tr w14:paraId="44BDD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86" w:hRule="atLeast"/>
          <w:jc w:val="center"/>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E2A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CC3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E99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9627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D18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0E8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r>
      <w:tr w14:paraId="093FF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86" w:hRule="atLeast"/>
          <w:jc w:val="center"/>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1DC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8A6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03EC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4432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6A7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404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r>
      <w:tr w14:paraId="4783A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879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B71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9B4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7FCA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EE5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035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r>
      <w:tr w14:paraId="041DB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86" w:hRule="atLeast"/>
          <w:jc w:val="center"/>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320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842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F7C6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FAD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8EF3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7959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r>
      <w:tr w14:paraId="29BFD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86" w:hRule="atLeast"/>
          <w:jc w:val="center"/>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A23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ED7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EE7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4CD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FC4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005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r>
      <w:tr w14:paraId="20FF6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jc w:val="center"/>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839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383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511D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F685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ADB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C34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r>
    </w:tbl>
    <w:p w14:paraId="112E49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kern w:val="0"/>
          <w:sz w:val="24"/>
          <w:szCs w:val="24"/>
          <w:highlight w:val="none"/>
          <w:lang w:val="en-US" w:eastAsia="zh-CN" w:bidi="ar"/>
        </w:rPr>
        <w:t xml:space="preserve"> </w:t>
      </w:r>
    </w:p>
    <w:p w14:paraId="5919E8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outlineLvl w:val="0"/>
        <w:rPr>
          <w:rFonts w:hint="default" w:ascii="Times New Roman" w:hAnsi="Times New Roman"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投标供应商（盖章）：</w:t>
      </w:r>
    </w:p>
    <w:p w14:paraId="05FA045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outlineLvl w:val="0"/>
        <w:rPr>
          <w:rFonts w:hint="default" w:ascii="Times New Roman" w:hAnsi="Times New Roman"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法定代表人或法定代表人授权代表签字或盖章：</w:t>
      </w:r>
    </w:p>
    <w:p w14:paraId="75C599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outlineLvl w:val="0"/>
        <w:rPr>
          <w:rFonts w:hint="default" w:ascii="Times New Roman" w:hAnsi="Times New Roman" w:eastAsia="宋体" w:cs="Times New Roman"/>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日期：</w:t>
      </w:r>
    </w:p>
    <w:p w14:paraId="61F13ED3">
      <w:pPr>
        <w:outlineLvl w:val="2"/>
        <w:rPr>
          <w:rFonts w:hint="eastAsia" w:ascii="黑体" w:hAnsi="宋体" w:eastAsia="黑体" w:cs="Times New Roman"/>
          <w:bCs/>
          <w:color w:val="auto"/>
          <w:sz w:val="24"/>
          <w:szCs w:val="24"/>
          <w:highlight w:val="none"/>
        </w:rPr>
      </w:pPr>
    </w:p>
    <w:p w14:paraId="41C12173">
      <w:pPr>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br w:type="page"/>
      </w:r>
    </w:p>
    <w:p w14:paraId="0A9F733A">
      <w:pPr>
        <w:outlineLvl w:val="2"/>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（十</w:t>
      </w:r>
      <w:r>
        <w:rPr>
          <w:rFonts w:hint="eastAsia" w:ascii="黑体" w:hAnsi="宋体" w:eastAsia="黑体" w:cs="Times New Roman"/>
          <w:bCs/>
          <w:color w:val="auto"/>
          <w:sz w:val="24"/>
          <w:szCs w:val="24"/>
          <w:highlight w:val="none"/>
          <w:lang w:val="en-US" w:eastAsia="zh-CN"/>
        </w:rPr>
        <w:t>一</w:t>
      </w:r>
      <w:r>
        <w:rPr>
          <w:rFonts w:hint="eastAsia" w:ascii="黑体" w:hAnsi="宋体" w:eastAsia="黑体" w:cs="Times New Roman"/>
          <w:bCs/>
          <w:color w:val="auto"/>
          <w:sz w:val="24"/>
          <w:szCs w:val="24"/>
          <w:highlight w:val="none"/>
        </w:rPr>
        <w:t>）技术方案（格式自拟）：</w:t>
      </w:r>
    </w:p>
    <w:p w14:paraId="754A5030">
      <w:pPr>
        <w:spacing w:line="360" w:lineRule="auto"/>
        <w:ind w:firstLine="480"/>
        <w:jc w:val="center"/>
        <w:outlineLvl w:val="9"/>
        <w:rPr>
          <w:rFonts w:ascii="宋体" w:hAnsi="宋体"/>
          <w:b/>
          <w:bCs/>
          <w:color w:val="auto"/>
          <w:sz w:val="24"/>
          <w:szCs w:val="24"/>
          <w:highlight w:val="none"/>
        </w:rPr>
      </w:pPr>
      <w:r>
        <w:rPr>
          <w:rFonts w:hint="eastAsia" w:ascii="宋体" w:hAnsi="宋体"/>
          <w:b/>
          <w:bCs/>
          <w:color w:val="auto"/>
          <w:sz w:val="24"/>
          <w:szCs w:val="24"/>
          <w:highlight w:val="none"/>
        </w:rPr>
        <w:t>技术方案</w:t>
      </w:r>
    </w:p>
    <w:p w14:paraId="6468A1FE">
      <w:pPr>
        <w:pStyle w:val="46"/>
        <w:ind w:firstLine="0"/>
        <w:outlineLvl w:val="9"/>
        <w:rPr>
          <w:color w:val="auto"/>
          <w:sz w:val="24"/>
          <w:highlight w:val="none"/>
        </w:rPr>
      </w:pPr>
      <w:r>
        <w:rPr>
          <w:rFonts w:hint="eastAsia"/>
          <w:color w:val="auto"/>
          <w:sz w:val="24"/>
          <w:highlight w:val="none"/>
        </w:rPr>
        <w:t>投标供应商应按评分点编制完整的服务方案</w:t>
      </w:r>
      <w:r>
        <w:rPr>
          <w:color w:val="auto"/>
          <w:sz w:val="24"/>
          <w:highlight w:val="none"/>
        </w:rPr>
        <w:t>。</w:t>
      </w:r>
    </w:p>
    <w:p w14:paraId="38E285CA">
      <w:pPr>
        <w:pStyle w:val="46"/>
        <w:ind w:firstLine="0"/>
        <w:outlineLvl w:val="9"/>
        <w:rPr>
          <w:color w:val="auto"/>
          <w:sz w:val="24"/>
          <w:highlight w:val="none"/>
        </w:rPr>
      </w:pPr>
    </w:p>
    <w:p w14:paraId="44E5B774">
      <w:pPr>
        <w:pStyle w:val="310"/>
        <w:ind w:firstLine="0"/>
        <w:outlineLvl w:val="9"/>
        <w:rPr>
          <w:rFonts w:hint="eastAsia" w:ascii="宋体" w:hAnsi="宋体"/>
          <w:bCs/>
          <w:color w:val="auto"/>
          <w:sz w:val="24"/>
          <w:szCs w:val="24"/>
          <w:highlight w:val="none"/>
        </w:rPr>
      </w:pPr>
    </w:p>
    <w:bookmarkEnd w:id="9"/>
    <w:sectPr>
      <w:pgSz w:w="11906" w:h="16838"/>
      <w:pgMar w:top="1134" w:right="1134" w:bottom="1134" w:left="1134" w:header="624" w:footer="907" w:gutter="0"/>
      <w:cols w:space="1701"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BBD1B38-FE8A-48C0-8FDB-FE847F44345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E5F643CC-2154-4A30-976E-8C085FA5672E}"/>
  </w:font>
  <w:font w:name="华文中宋">
    <w:panose1 w:val="02010600040101010101"/>
    <w:charset w:val="86"/>
    <w:family w:val="auto"/>
    <w:pitch w:val="default"/>
    <w:sig w:usb0="00000287" w:usb1="080F0000" w:usb2="00000000" w:usb3="00000000" w:csb0="0004009F" w:csb1="DFD70000"/>
    <w:embedRegular r:id="rId3" w:fontKey="{3E4A6319-8F6C-4814-B4FC-8705E5891161}"/>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embedRegular r:id="rId4" w:fontKey="{3F413672-B5D3-4682-8FF8-385F1A393512}"/>
  </w:font>
  <w:font w:name="Cambria Math">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Calibri Light">
    <w:panose1 w:val="020F0302020204030204"/>
    <w:charset w:val="00"/>
    <w:family w:val="auto"/>
    <w:pitch w:val="default"/>
    <w:sig w:usb0="E4002EFF" w:usb1="C000247B" w:usb2="00000009" w:usb3="00000000" w:csb0="200001FF" w:csb1="00000000"/>
  </w:font>
  <w:font w:name="Garamond">
    <w:altName w:val="RomanS"/>
    <w:panose1 w:val="02020404030301010803"/>
    <w:charset w:val="00"/>
    <w:family w:val="auto"/>
    <w:pitch w:val="default"/>
    <w:sig w:usb0="00000000" w:usb1="00000000" w:usb2="00000000" w:usb3="00000000" w:csb0="0000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隶书">
    <w:altName w:val="微软雅黑"/>
    <w:panose1 w:val="02010509060101010101"/>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RomanS">
    <w:panose1 w:val="02000400000000000000"/>
    <w:charset w:val="00"/>
    <w:family w:val="auto"/>
    <w:pitch w:val="default"/>
    <w:sig w:usb0="0000020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823AE">
    <w:pPr>
      <w:pStyle w:val="257"/>
      <w:framePr w:wrap="around" w:vAnchor="text" w:hAnchor="margin" w:xAlign="center" w:y="1"/>
      <w:rPr>
        <w:rStyle w:val="296"/>
      </w:rPr>
    </w:pPr>
    <w:r>
      <w:rPr>
        <w:rStyle w:val="296"/>
      </w:rPr>
      <w:fldChar w:fldCharType="begin"/>
    </w:r>
    <w:r>
      <w:rPr>
        <w:rStyle w:val="296"/>
      </w:rPr>
      <w:instrText xml:space="preserve">PAGE  </w:instrText>
    </w:r>
    <w:r>
      <w:rPr>
        <w:rStyle w:val="296"/>
      </w:rPr>
      <w:fldChar w:fldCharType="separate"/>
    </w:r>
    <w:r>
      <w:rPr>
        <w:rStyle w:val="296"/>
      </w:rPr>
      <w:t>1</w:t>
    </w:r>
    <w:r>
      <w:rPr>
        <w:rStyle w:val="296"/>
      </w:rPr>
      <w:fldChar w:fldCharType="end"/>
    </w:r>
  </w:p>
  <w:p w14:paraId="642EA887">
    <w:pPr>
      <w:pStyle w:val="25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B3390">
    <w:pPr>
      <w:pStyle w:val="25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424D9">
    <w:pPr>
      <w:pStyle w:val="25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1775" cy="284480"/>
              <wp:effectExtent l="6350" t="6350" r="6350" b="6350"/>
              <wp:wrapNone/>
              <wp:docPr id="1" name="文本框 1"/>
              <wp:cNvGraphicFramePr/>
              <a:graphic xmlns:a="http://schemas.openxmlformats.org/drawingml/2006/main">
                <a:graphicData uri="http://schemas.microsoft.com/office/word/2010/wordprocessingShape">
                  <wps:wsp>
                    <wps:cNvSpPr txBox="1"/>
                    <wps:spPr bwMode="auto">
                      <a:xfrm>
                        <a:off x="0" y="0"/>
                        <a:ext cx="231741" cy="284772"/>
                      </a:xfrm>
                      <a:prstGeom prst="rect">
                        <a:avLst/>
                      </a:prstGeom>
                      <a:noFill/>
                      <a:ln>
                        <a:noFill/>
                      </a:ln>
                    </wps:spPr>
                    <wps:txbx>
                      <w:txbxContent>
                        <w:p w14:paraId="6F475BD9">
                          <w:pPr>
                            <w:pStyle w:val="257"/>
                            <w:tabs>
                              <w:tab w:val="clear" w:pos="4153"/>
                              <w:tab w:val="clear" w:pos="8306"/>
                            </w:tabs>
                          </w:pPr>
                          <w:r>
                            <w:fldChar w:fldCharType="begin"/>
                          </w:r>
                          <w:r>
                            <w:instrText xml:space="preserve"> PAGE  \* MERGEFORMAT </w:instrText>
                          </w:r>
                          <w:r>
                            <w:fldChar w:fldCharType="separate"/>
                          </w:r>
                          <w:r>
                            <w:t>2</w:t>
                          </w:r>
                          <w:r>
                            <w:fldChar w:fldCharType="end"/>
                          </w:r>
                        </w:p>
                        <w:p w14:paraId="18086A22"/>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2.4pt;width:18.25pt;mso-position-horizontal:center;mso-position-horizontal-relative:margin;z-index:251659264;mso-width-relative:page;mso-height-relative:page;" filled="f" stroked="f" coordsize="21600,21600" o:gfxdata="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BPI3szUAAAAAwEAAA8AAAAAAAAAAQAg&#10;AAAAIgAAAGRycy9kb3ducmV2LnhtbFBLAQIUABQAAAAIAIdO4kBOgjzw2QEAAKcDAAAOAAAAAAAA&#10;AAEAIAAAACMBAABkcnMvZTJvRG9jLnhtbFBLBQYAAAAABgAGAFkBAABuBQAAAAA=&#10;">
              <v:fill on="f" focussize="0,0"/>
              <v:stroke on="f"/>
              <v:imagedata o:title=""/>
              <o:lock v:ext="edit" aspectratio="f"/>
              <v:textbox inset="0mm,0mm,0mm,0mm">
                <w:txbxContent>
                  <w:p w14:paraId="6F475BD9">
                    <w:pPr>
                      <w:pStyle w:val="257"/>
                      <w:tabs>
                        <w:tab w:val="clear" w:pos="4153"/>
                        <w:tab w:val="clear" w:pos="8306"/>
                      </w:tabs>
                    </w:pPr>
                    <w:r>
                      <w:fldChar w:fldCharType="begin"/>
                    </w:r>
                    <w:r>
                      <w:instrText xml:space="preserve"> PAGE  \* MERGEFORMAT </w:instrText>
                    </w:r>
                    <w:r>
                      <w:fldChar w:fldCharType="separate"/>
                    </w:r>
                    <w:r>
                      <w:t>2</w:t>
                    </w:r>
                    <w:r>
                      <w:fldChar w:fldCharType="end"/>
                    </w:r>
                  </w:p>
                  <w:p w14:paraId="18086A22"/>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9169B">
    <w:pPr>
      <w:pStyle w:val="259"/>
      <w:tabs>
        <w:tab w:val="center" w:pos="4524"/>
        <w:tab w:val="right" w:pos="9048"/>
      </w:tabs>
      <w:jc w:val="center"/>
      <w:rPr>
        <w:rFonts w:hint="eastAsia" w:ascii="宋体" w:hAnsi="宋体"/>
        <w:lang w:eastAsia="zh-CN"/>
      </w:rPr>
    </w:pPr>
    <w:r>
      <w:rPr>
        <w:rFonts w:hint="eastAsia" w:ascii="宋体" w:hAnsi="宋体"/>
        <w:lang w:eastAsia="zh-CN"/>
      </w:rPr>
      <w:t>2025-2027年鸿山街道特种设备安全、非特种设备升降平台安全和食品安全第三方信息化协管项目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0300F">
    <w:pPr>
      <w:pStyle w:val="259"/>
      <w:tabs>
        <w:tab w:val="center" w:pos="4524"/>
        <w:tab w:val="right" w:pos="9048"/>
      </w:tabs>
      <w:jc w:val="left"/>
    </w:pPr>
    <w:r>
      <w:rPr>
        <w:rFonts w:hint="eastAsia" w:ascii="宋体" w:hAnsi="宋体"/>
        <w:lang w:eastAsia="zh-CN"/>
      </w:rPr>
      <w:t>JSZC-320214-WXZB-G2024-0006</w:t>
    </w:r>
    <w:r>
      <w:rPr>
        <w:rFonts w:hint="eastAsia" w:ascii="宋体" w:hAnsi="宋体"/>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lang w:eastAsia="zh-CN"/>
      </w:rPr>
      <w:t>无锡高新区（新吴区）2024年度土壤污染状况调查报告技术评估服务项目</w:t>
    </w:r>
    <w:r>
      <w:rPr>
        <w:rFonts w:hint="eastAsia" w:ascii="宋体" w:hAnsi="宋体"/>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CF092B84"/>
    <w:multiLevelType w:val="multilevel"/>
    <w:tmpl w:val="CF092B84"/>
    <w:lvl w:ilvl="0" w:tentative="0">
      <w:start w:val="1"/>
      <w:numFmt w:val="decimal"/>
      <w:pStyle w:val="265"/>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9F21CBA"/>
    <w:multiLevelType w:val="multilevel"/>
    <w:tmpl w:val="D9F21CBA"/>
    <w:lvl w:ilvl="0" w:tentative="0">
      <w:start w:val="4"/>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3">
    <w:nsid w:val="0053208E"/>
    <w:multiLevelType w:val="multilevel"/>
    <w:tmpl w:val="0053208E"/>
    <w:lvl w:ilvl="0" w:tentative="0">
      <w:start w:val="1"/>
      <w:numFmt w:val="upperLetter"/>
      <w:pStyle w:val="198"/>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59ADCABA"/>
    <w:multiLevelType w:val="multilevel"/>
    <w:tmpl w:val="59ADCABA"/>
    <w:lvl w:ilvl="0" w:tentative="0">
      <w:start w:val="1"/>
      <w:numFmt w:val="decimal"/>
      <w:lvlText w:val="%1．"/>
      <w:lvlJc w:val="left"/>
      <w:pPr>
        <w:tabs>
          <w:tab w:val="left" w:pos="552"/>
        </w:tabs>
        <w:ind w:left="552" w:hanging="420"/>
      </w:pPr>
      <w:rPr>
        <w:rFonts w:hint="eastAsia" w:cs="Times New Roman"/>
      </w:rPr>
    </w:lvl>
    <w:lvl w:ilvl="1" w:tentative="0">
      <w:start w:val="1"/>
      <w:numFmt w:val="bullet"/>
      <w:pStyle w:val="321"/>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dkZWJiYmIxZTUyOTE4MWNiZjc5OTU0OGYxOTMwYjMifQ=="/>
  </w:docVars>
  <w:rsids>
    <w:rsidRoot w:val="00000000"/>
    <w:rsid w:val="008A0374"/>
    <w:rsid w:val="010D7DD7"/>
    <w:rsid w:val="02444AF5"/>
    <w:rsid w:val="02C306B9"/>
    <w:rsid w:val="04A86794"/>
    <w:rsid w:val="05385864"/>
    <w:rsid w:val="05635EFE"/>
    <w:rsid w:val="058E2907"/>
    <w:rsid w:val="05A30C49"/>
    <w:rsid w:val="063B53E6"/>
    <w:rsid w:val="06436AC6"/>
    <w:rsid w:val="06B95B9A"/>
    <w:rsid w:val="074F739B"/>
    <w:rsid w:val="0A8B1C89"/>
    <w:rsid w:val="0B1600C0"/>
    <w:rsid w:val="0B350656"/>
    <w:rsid w:val="0B4D5D73"/>
    <w:rsid w:val="0B813FFC"/>
    <w:rsid w:val="0C9860A2"/>
    <w:rsid w:val="0E6D0107"/>
    <w:rsid w:val="0EA0672E"/>
    <w:rsid w:val="0EAF24CD"/>
    <w:rsid w:val="0EB863CE"/>
    <w:rsid w:val="0F9809C0"/>
    <w:rsid w:val="0FA43FFC"/>
    <w:rsid w:val="101609C5"/>
    <w:rsid w:val="102F247B"/>
    <w:rsid w:val="10941913"/>
    <w:rsid w:val="1142587A"/>
    <w:rsid w:val="12A75131"/>
    <w:rsid w:val="14E57617"/>
    <w:rsid w:val="153C2BE7"/>
    <w:rsid w:val="158E3854"/>
    <w:rsid w:val="15925E0F"/>
    <w:rsid w:val="1660735F"/>
    <w:rsid w:val="178B2244"/>
    <w:rsid w:val="17E51AF5"/>
    <w:rsid w:val="189E74FF"/>
    <w:rsid w:val="190302EC"/>
    <w:rsid w:val="19D61256"/>
    <w:rsid w:val="19F93DE6"/>
    <w:rsid w:val="1A846F04"/>
    <w:rsid w:val="1D493C7B"/>
    <w:rsid w:val="1E206F43"/>
    <w:rsid w:val="1E324B94"/>
    <w:rsid w:val="1F6368EB"/>
    <w:rsid w:val="20385E45"/>
    <w:rsid w:val="20CB75D2"/>
    <w:rsid w:val="211830D1"/>
    <w:rsid w:val="214A5196"/>
    <w:rsid w:val="218E2000"/>
    <w:rsid w:val="220327AD"/>
    <w:rsid w:val="227930C6"/>
    <w:rsid w:val="22837533"/>
    <w:rsid w:val="22D643FE"/>
    <w:rsid w:val="23B13B73"/>
    <w:rsid w:val="26732F01"/>
    <w:rsid w:val="28083340"/>
    <w:rsid w:val="284E0E06"/>
    <w:rsid w:val="291A6CF4"/>
    <w:rsid w:val="29A46C7B"/>
    <w:rsid w:val="2A9913C0"/>
    <w:rsid w:val="2B0B4BEC"/>
    <w:rsid w:val="2CF9108B"/>
    <w:rsid w:val="2D3011BB"/>
    <w:rsid w:val="2D466457"/>
    <w:rsid w:val="2DD61AC6"/>
    <w:rsid w:val="2E9776E9"/>
    <w:rsid w:val="2EE46F73"/>
    <w:rsid w:val="30D657D2"/>
    <w:rsid w:val="311A2886"/>
    <w:rsid w:val="31B47C77"/>
    <w:rsid w:val="31BB001E"/>
    <w:rsid w:val="34264730"/>
    <w:rsid w:val="349A75F8"/>
    <w:rsid w:val="34F77B28"/>
    <w:rsid w:val="362355D6"/>
    <w:rsid w:val="364019B6"/>
    <w:rsid w:val="38286428"/>
    <w:rsid w:val="38C44662"/>
    <w:rsid w:val="38CE765B"/>
    <w:rsid w:val="3A591946"/>
    <w:rsid w:val="3B274BE3"/>
    <w:rsid w:val="3BE5554E"/>
    <w:rsid w:val="3DC20335"/>
    <w:rsid w:val="404070A2"/>
    <w:rsid w:val="42311ECC"/>
    <w:rsid w:val="42A87D68"/>
    <w:rsid w:val="430761E9"/>
    <w:rsid w:val="43303C60"/>
    <w:rsid w:val="435A32D3"/>
    <w:rsid w:val="43BD4B42"/>
    <w:rsid w:val="43D45F4C"/>
    <w:rsid w:val="440853AC"/>
    <w:rsid w:val="44FA57E5"/>
    <w:rsid w:val="46E2110E"/>
    <w:rsid w:val="46F12C81"/>
    <w:rsid w:val="46F25071"/>
    <w:rsid w:val="47E02D7E"/>
    <w:rsid w:val="47F24C34"/>
    <w:rsid w:val="4B495E02"/>
    <w:rsid w:val="4B5D20CE"/>
    <w:rsid w:val="4B774FCB"/>
    <w:rsid w:val="4C003AA3"/>
    <w:rsid w:val="4C34384E"/>
    <w:rsid w:val="4D4E0B28"/>
    <w:rsid w:val="4F091777"/>
    <w:rsid w:val="504F0E53"/>
    <w:rsid w:val="510D7CB9"/>
    <w:rsid w:val="52377DDC"/>
    <w:rsid w:val="539205ED"/>
    <w:rsid w:val="545B0648"/>
    <w:rsid w:val="54B629AB"/>
    <w:rsid w:val="553C32C9"/>
    <w:rsid w:val="56763566"/>
    <w:rsid w:val="56C1641C"/>
    <w:rsid w:val="58ED69E7"/>
    <w:rsid w:val="596173AF"/>
    <w:rsid w:val="59A1101C"/>
    <w:rsid w:val="5B3E042E"/>
    <w:rsid w:val="5B8318CA"/>
    <w:rsid w:val="5C3C38F4"/>
    <w:rsid w:val="5D3C5E4A"/>
    <w:rsid w:val="5D5D3C04"/>
    <w:rsid w:val="5E7433A3"/>
    <w:rsid w:val="5F2D5108"/>
    <w:rsid w:val="611D39E1"/>
    <w:rsid w:val="61FF0831"/>
    <w:rsid w:val="62B1691A"/>
    <w:rsid w:val="64005B1B"/>
    <w:rsid w:val="65095F11"/>
    <w:rsid w:val="65956E9C"/>
    <w:rsid w:val="66017D8B"/>
    <w:rsid w:val="66056116"/>
    <w:rsid w:val="664B6C68"/>
    <w:rsid w:val="68E70B41"/>
    <w:rsid w:val="6951757E"/>
    <w:rsid w:val="6A172FD4"/>
    <w:rsid w:val="6CD055EB"/>
    <w:rsid w:val="71FA0BC4"/>
    <w:rsid w:val="720B294C"/>
    <w:rsid w:val="73131D48"/>
    <w:rsid w:val="743571E8"/>
    <w:rsid w:val="75480FE3"/>
    <w:rsid w:val="755E43A0"/>
    <w:rsid w:val="75962743"/>
    <w:rsid w:val="75AD0232"/>
    <w:rsid w:val="76816DC2"/>
    <w:rsid w:val="77231012"/>
    <w:rsid w:val="775C73DD"/>
    <w:rsid w:val="777E00F1"/>
    <w:rsid w:val="77F243B1"/>
    <w:rsid w:val="788B5985"/>
    <w:rsid w:val="78C15DAD"/>
    <w:rsid w:val="790870E5"/>
    <w:rsid w:val="79697D8A"/>
    <w:rsid w:val="7A2D1941"/>
    <w:rsid w:val="7B2C1ABD"/>
    <w:rsid w:val="7C086359"/>
    <w:rsid w:val="7DC26844"/>
    <w:rsid w:val="7E4B4A8C"/>
    <w:rsid w:val="7EF16FE3"/>
    <w:rsid w:val="7F892C2D"/>
    <w:rsid w:val="7FFD1DB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68"/>
    <w:qFormat/>
    <w:uiPriority w:val="0"/>
    <w:pPr>
      <w:widowControl w:val="0"/>
      <w:jc w:val="both"/>
    </w:pPr>
    <w:rPr>
      <w:rFonts w:hint="default" w:ascii="Times New Roman" w:hAnsi="Times New Roman" w:eastAsia="宋体" w:cs="Times New Roman"/>
      <w:sz w:val="21"/>
      <w:lang w:val="en-US" w:eastAsia="zh-CN" w:bidi="ar-SA"/>
    </w:rPr>
  </w:style>
  <w:style w:type="paragraph" w:styleId="4">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48"/>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正文文本1"/>
    <w:basedOn w:val="1"/>
    <w:next w:val="3"/>
    <w:link w:val="238"/>
    <w:qFormat/>
    <w:uiPriority w:val="0"/>
    <w:rPr>
      <w:rFonts w:ascii="华文中宋" w:eastAsia="华文中宋"/>
      <w:bCs/>
      <w:sz w:val="28"/>
    </w:rPr>
  </w:style>
  <w:style w:type="paragraph" w:customStyle="1" w:styleId="3">
    <w:name w:val="正文首行缩进1"/>
    <w:basedOn w:val="1"/>
    <w:link w:val="293"/>
    <w:unhideWhenUsed/>
    <w:qFormat/>
    <w:uiPriority w:val="0"/>
    <w:pPr>
      <w:spacing w:after="120"/>
      <w:ind w:firstLine="420"/>
    </w:pPr>
    <w:rPr>
      <w:rFonts w:ascii="Times New Roman"/>
      <w:bCs/>
      <w:sz w:val="21"/>
    </w:rPr>
  </w:style>
  <w:style w:type="paragraph" w:styleId="13">
    <w:name w:val="toc 7"/>
    <w:basedOn w:val="1"/>
    <w:next w:val="1"/>
    <w:unhideWhenUsed/>
    <w:qFormat/>
    <w:uiPriority w:val="39"/>
    <w:pPr>
      <w:spacing w:after="57"/>
      <w:ind w:left="1701" w:right="0" w:firstLine="0"/>
    </w:pPr>
  </w:style>
  <w:style w:type="paragraph" w:styleId="14">
    <w:name w:val="Normal Indent"/>
    <w:basedOn w:val="1"/>
    <w:unhideWhenUsed/>
    <w:qFormat/>
    <w:uiPriority w:val="0"/>
    <w:pPr>
      <w:ind w:firstLine="420" w:firstLineChars="200"/>
    </w:pPr>
    <w:rPr>
      <w:szCs w:val="24"/>
    </w:r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annotation text"/>
    <w:basedOn w:val="1"/>
    <w:semiHidden/>
    <w:unhideWhenUsed/>
    <w:qFormat/>
    <w:uiPriority w:val="99"/>
    <w:pPr>
      <w:jc w:val="left"/>
    </w:pPr>
  </w:style>
  <w:style w:type="paragraph" w:styleId="17">
    <w:name w:val="Body Text"/>
    <w:basedOn w:val="1"/>
    <w:next w:val="1"/>
    <w:qFormat/>
    <w:uiPriority w:val="99"/>
    <w:rPr>
      <w:rFonts w:ascii="华文中宋" w:eastAsia="华文中宋"/>
      <w:bCs/>
      <w:sz w:val="28"/>
    </w:rPr>
  </w:style>
  <w:style w:type="paragraph" w:styleId="18">
    <w:name w:val="index 4"/>
    <w:basedOn w:val="1"/>
    <w:next w:val="1"/>
    <w:qFormat/>
    <w:uiPriority w:val="99"/>
    <w:pPr>
      <w:ind w:left="600"/>
    </w:pPr>
    <w:rPr>
      <w:szCs w:val="24"/>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qFormat/>
    <w:uiPriority w:val="0"/>
    <w:rPr>
      <w:rFonts w:ascii="宋体" w:hAnsi="Courier New"/>
      <w:szCs w:val="21"/>
    </w:r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192"/>
    <w:semiHidden/>
    <w:unhideWhenUsed/>
    <w:qFormat/>
    <w:uiPriority w:val="99"/>
    <w:pPr>
      <w:spacing w:after="0" w:line="240" w:lineRule="auto"/>
    </w:pPr>
    <w:rPr>
      <w:sz w:val="20"/>
    </w:rPr>
  </w:style>
  <w:style w:type="paragraph" w:styleId="24">
    <w:name w:val="footer"/>
    <w:basedOn w:val="1"/>
    <w:next w:val="25"/>
    <w:link w:val="65"/>
    <w:unhideWhenUsed/>
    <w:qFormat/>
    <w:uiPriority w:val="99"/>
    <w:pPr>
      <w:tabs>
        <w:tab w:val="center" w:pos="7143"/>
        <w:tab w:val="right" w:pos="14287"/>
      </w:tabs>
      <w:spacing w:after="0" w:line="240" w:lineRule="auto"/>
    </w:pPr>
  </w:style>
  <w:style w:type="paragraph" w:customStyle="1" w:styleId="25">
    <w:name w:val="TOC Heading1"/>
    <w:next w:val="1"/>
    <w:qFormat/>
    <w:uiPriority w:val="0"/>
    <w:rPr>
      <w:rFonts w:hint="default" w:ascii="Times New Roman" w:hAnsi="Times New Roman" w:eastAsia="宋体" w:cs="Times New Roman"/>
      <w:sz w:val="32"/>
      <w:lang w:val="en-US" w:eastAsia="zh-CN" w:bidi="ar-SA"/>
    </w:rPr>
  </w:style>
  <w:style w:type="paragraph" w:styleId="26">
    <w:name w:val="header"/>
    <w:basedOn w:val="1"/>
    <w:link w:val="63"/>
    <w:unhideWhenUsed/>
    <w:qFormat/>
    <w:uiPriority w:val="99"/>
    <w:pPr>
      <w:tabs>
        <w:tab w:val="center" w:pos="7143"/>
        <w:tab w:val="right" w:pos="14287"/>
      </w:tabs>
      <w:spacing w:after="0" w:line="240" w:lineRule="auto"/>
    </w:pPr>
  </w:style>
  <w:style w:type="paragraph" w:styleId="27">
    <w:name w:val="toc 1"/>
    <w:basedOn w:val="1"/>
    <w:next w:val="1"/>
    <w:unhideWhenUsed/>
    <w:qFormat/>
    <w:uiPriority w:val="39"/>
    <w:pPr>
      <w:spacing w:after="57"/>
      <w:ind w:left="0" w:right="0"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58"/>
    <w:qFormat/>
    <w:uiPriority w:val="11"/>
    <w:pPr>
      <w:spacing w:before="200" w:after="200"/>
    </w:pPr>
    <w:rPr>
      <w:sz w:val="24"/>
      <w:szCs w:val="24"/>
    </w:rPr>
  </w:style>
  <w:style w:type="paragraph" w:styleId="30">
    <w:name w:val="footnote text"/>
    <w:basedOn w:val="1"/>
    <w:link w:val="191"/>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Normal (Web)"/>
    <w:qFormat/>
    <w:uiPriority w:val="0"/>
    <w:pPr>
      <w:widowControl w:val="0"/>
      <w:spacing w:before="100" w:beforeAutospacing="1" w:after="100" w:afterAutospacing="1"/>
      <w:ind w:left="0" w:right="0"/>
      <w:jc w:val="left"/>
    </w:pPr>
    <w:rPr>
      <w:rFonts w:hint="default" w:ascii="Times New Roman" w:hAnsi="Times New Roman" w:eastAsia="宋体" w:cs="Times New Roman"/>
      <w:sz w:val="24"/>
      <w:szCs w:val="24"/>
      <w:lang w:val="en-US" w:eastAsia="zh-CN" w:bidi="ar"/>
    </w:rPr>
  </w:style>
  <w:style w:type="paragraph" w:styleId="36">
    <w:name w:val="Title"/>
    <w:basedOn w:val="1"/>
    <w:next w:val="1"/>
    <w:link w:val="57"/>
    <w:qFormat/>
    <w:uiPriority w:val="10"/>
    <w:pPr>
      <w:spacing w:before="300" w:after="200"/>
      <w:contextualSpacing/>
    </w:pPr>
    <w:rPr>
      <w:sz w:val="48"/>
      <w:szCs w:val="48"/>
    </w:rPr>
  </w:style>
  <w:style w:type="paragraph" w:styleId="37">
    <w:name w:val="Body Text First Indent"/>
    <w:semiHidden/>
    <w:unhideWhenUsed/>
    <w:qFormat/>
    <w:uiPriority w:val="99"/>
    <w:pPr>
      <w:keepNext w:val="0"/>
      <w:keepLines w:val="0"/>
      <w:widowControl w:val="0"/>
      <w:suppressLineNumbers w:val="0"/>
      <w:autoSpaceDE w:val="0"/>
      <w:autoSpaceDN w:val="0"/>
      <w:adjustRightInd w:val="0"/>
      <w:spacing w:before="0" w:beforeAutospacing="0" w:after="0" w:afterAutospacing="0" w:line="440" w:lineRule="exact"/>
      <w:ind w:left="0" w:right="0" w:firstLine="420"/>
      <w:jc w:val="both"/>
    </w:pPr>
    <w:rPr>
      <w:rFonts w:hint="default" w:ascii="仿宋_GB2312" w:hAnsi="Times New Roman" w:eastAsia="仿宋_GB2312" w:cs="仿宋_GB2312"/>
      <w:kern w:val="0"/>
      <w:sz w:val="24"/>
      <w:szCs w:val="24"/>
      <w:lang w:val="en-US" w:eastAsia="zh-CN" w:bidi="ar"/>
    </w:rPr>
  </w:style>
  <w:style w:type="paragraph" w:styleId="38">
    <w:name w:val="Body Text First Indent 2"/>
    <w:semiHidden/>
    <w:unhideWhenUsed/>
    <w:qFormat/>
    <w:uiPriority w:val="99"/>
    <w:pPr>
      <w:keepNext w:val="0"/>
      <w:keepLines w:val="0"/>
      <w:widowControl w:val="0"/>
      <w:suppressLineNumbers w:val="0"/>
      <w:spacing w:before="0" w:beforeAutospacing="1" w:after="120" w:afterAutospacing="0"/>
      <w:ind w:left="420" w:leftChars="200" w:firstLine="420" w:firstLineChars="200"/>
      <w:jc w:val="both"/>
    </w:pPr>
    <w:rPr>
      <w:rFonts w:hint="default" w:ascii="Times New Roman" w:hAnsi="Times New Roman" w:eastAsia="宋体" w:cs="Times New Roman"/>
      <w:kern w:val="0"/>
      <w:sz w:val="20"/>
      <w:szCs w:val="20"/>
      <w:lang w:val="en-US" w:eastAsia="zh-CN" w:bidi="ar"/>
    </w:rPr>
  </w:style>
  <w:style w:type="table" w:styleId="4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paragraph" w:customStyle="1" w:styleId="45">
    <w:name w:val="_Style 1"/>
    <w:basedOn w:val="1"/>
    <w:qFormat/>
    <w:uiPriority w:val="99"/>
    <w:pPr>
      <w:ind w:firstLine="420" w:firstLineChars="200"/>
    </w:pPr>
    <w:rPr>
      <w:rFonts w:ascii="Calibri" w:hAnsi="Calibri" w:eastAsia="宋体" w:cs="Calibri"/>
      <w:kern w:val="0"/>
      <w:sz w:val="34"/>
      <w:szCs w:val="34"/>
    </w:rPr>
  </w:style>
  <w:style w:type="paragraph" w:styleId="46">
    <w:name w:val="List Paragraph"/>
    <w:basedOn w:val="1"/>
    <w:qFormat/>
    <w:uiPriority w:val="34"/>
    <w:pPr>
      <w:ind w:firstLine="420"/>
    </w:pPr>
    <w:rPr>
      <w:szCs w:val="21"/>
    </w:rPr>
  </w:style>
  <w:style w:type="character" w:customStyle="1" w:styleId="47">
    <w:name w:val="Heading 1 Char"/>
    <w:link w:val="4"/>
    <w:qFormat/>
    <w:uiPriority w:val="9"/>
    <w:rPr>
      <w:rFonts w:ascii="Arial" w:hAnsi="Arial" w:eastAsia="Arial" w:cs="Arial"/>
      <w:sz w:val="40"/>
      <w:szCs w:val="40"/>
    </w:rPr>
  </w:style>
  <w:style w:type="character" w:customStyle="1" w:styleId="48">
    <w:name w:val="Heading 2 Char"/>
    <w:link w:val="5"/>
    <w:qFormat/>
    <w:uiPriority w:val="9"/>
    <w:rPr>
      <w:rFonts w:ascii="Arial" w:hAnsi="Arial" w:eastAsia="Arial" w:cs="Arial"/>
      <w:sz w:val="34"/>
    </w:rPr>
  </w:style>
  <w:style w:type="character" w:customStyle="1" w:styleId="49">
    <w:name w:val="Heading 3 Char"/>
    <w:link w:val="6"/>
    <w:qFormat/>
    <w:uiPriority w:val="9"/>
    <w:rPr>
      <w:rFonts w:ascii="Arial" w:hAnsi="Arial" w:eastAsia="Arial" w:cs="Arial"/>
      <w:sz w:val="30"/>
      <w:szCs w:val="30"/>
    </w:rPr>
  </w:style>
  <w:style w:type="character" w:customStyle="1" w:styleId="50">
    <w:name w:val="Heading 4 Char"/>
    <w:link w:val="7"/>
    <w:qFormat/>
    <w:uiPriority w:val="9"/>
    <w:rPr>
      <w:rFonts w:ascii="Arial" w:hAnsi="Arial" w:eastAsia="Arial" w:cs="Arial"/>
      <w:b/>
      <w:bCs/>
      <w:sz w:val="26"/>
      <w:szCs w:val="26"/>
    </w:rPr>
  </w:style>
  <w:style w:type="character" w:customStyle="1" w:styleId="51">
    <w:name w:val="Heading 5 Char"/>
    <w:link w:val="8"/>
    <w:qFormat/>
    <w:uiPriority w:val="9"/>
    <w:rPr>
      <w:rFonts w:ascii="Arial" w:hAnsi="Arial" w:eastAsia="Arial" w:cs="Arial"/>
      <w:b/>
      <w:bCs/>
      <w:sz w:val="24"/>
      <w:szCs w:val="24"/>
    </w:rPr>
  </w:style>
  <w:style w:type="character" w:customStyle="1" w:styleId="52">
    <w:name w:val="Heading 6 Char"/>
    <w:link w:val="9"/>
    <w:qFormat/>
    <w:uiPriority w:val="9"/>
    <w:rPr>
      <w:rFonts w:ascii="Arial" w:hAnsi="Arial" w:eastAsia="Arial" w:cs="Arial"/>
      <w:b/>
      <w:bCs/>
      <w:sz w:val="22"/>
      <w:szCs w:val="22"/>
    </w:rPr>
  </w:style>
  <w:style w:type="character" w:customStyle="1" w:styleId="53">
    <w:name w:val="Heading 7 Char"/>
    <w:link w:val="10"/>
    <w:qFormat/>
    <w:uiPriority w:val="9"/>
    <w:rPr>
      <w:rFonts w:ascii="Arial" w:hAnsi="Arial" w:eastAsia="Arial" w:cs="Arial"/>
      <w:b/>
      <w:bCs/>
      <w:i/>
      <w:iCs/>
      <w:sz w:val="22"/>
      <w:szCs w:val="22"/>
    </w:rPr>
  </w:style>
  <w:style w:type="character" w:customStyle="1" w:styleId="54">
    <w:name w:val="Heading 8 Char"/>
    <w:link w:val="11"/>
    <w:qFormat/>
    <w:uiPriority w:val="9"/>
    <w:rPr>
      <w:rFonts w:ascii="Arial" w:hAnsi="Arial" w:eastAsia="Arial" w:cs="Arial"/>
      <w:i/>
      <w:iCs/>
      <w:sz w:val="22"/>
      <w:szCs w:val="22"/>
    </w:rPr>
  </w:style>
  <w:style w:type="character" w:customStyle="1" w:styleId="55">
    <w:name w:val="Heading 9 Char"/>
    <w:link w:val="12"/>
    <w:qFormat/>
    <w:uiPriority w:val="9"/>
    <w:rPr>
      <w:rFonts w:ascii="Arial" w:hAnsi="Arial" w:eastAsia="Arial" w:cs="Arial"/>
      <w:i/>
      <w:iCs/>
      <w:sz w:val="21"/>
      <w:szCs w:val="21"/>
    </w:r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link w:val="36"/>
    <w:qFormat/>
    <w:uiPriority w:val="10"/>
    <w:rPr>
      <w:sz w:val="48"/>
      <w:szCs w:val="48"/>
    </w:rPr>
  </w:style>
  <w:style w:type="character" w:customStyle="1" w:styleId="58">
    <w:name w:val="Subtitle Char"/>
    <w:link w:val="29"/>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link w:val="26"/>
    <w:qFormat/>
    <w:uiPriority w:val="99"/>
  </w:style>
  <w:style w:type="character" w:customStyle="1" w:styleId="64">
    <w:name w:val="Footer Char"/>
    <w:link w:val="24"/>
    <w:qFormat/>
    <w:uiPriority w:val="99"/>
  </w:style>
  <w:style w:type="character" w:customStyle="1" w:styleId="65">
    <w:name w:val="Caption Char"/>
    <w:link w:val="24"/>
    <w:qFormat/>
    <w:uiPriority w:val="99"/>
  </w:style>
  <w:style w:type="table" w:customStyle="1" w:styleId="6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Footnote Text Char"/>
    <w:link w:val="30"/>
    <w:qFormat/>
    <w:uiPriority w:val="99"/>
    <w:rPr>
      <w:sz w:val="18"/>
    </w:rPr>
  </w:style>
  <w:style w:type="character" w:customStyle="1" w:styleId="192">
    <w:name w:val="Endnote Text Char"/>
    <w:link w:val="23"/>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标题 11"/>
    <w:basedOn w:val="1"/>
    <w:next w:val="1"/>
    <w:link w:val="210"/>
    <w:qFormat/>
    <w:uiPriority w:val="0"/>
    <w:pPr>
      <w:keepNext/>
      <w:jc w:val="center"/>
      <w:outlineLvl w:val="0"/>
    </w:pPr>
    <w:rPr>
      <w:rFonts w:ascii="方正仿宋_GB2312" w:eastAsia="方正仿宋_GB2312"/>
      <w:b/>
      <w:sz w:val="28"/>
    </w:rPr>
  </w:style>
  <w:style w:type="paragraph" w:customStyle="1" w:styleId="195">
    <w:name w:val="标题 21"/>
    <w:basedOn w:val="1"/>
    <w:next w:val="1"/>
    <w:link w:val="211"/>
    <w:qFormat/>
    <w:uiPriority w:val="0"/>
    <w:pPr>
      <w:keepNext/>
      <w:jc w:val="center"/>
      <w:outlineLvl w:val="1"/>
    </w:pPr>
    <w:rPr>
      <w:rFonts w:ascii="方正仿宋_GB2312" w:eastAsia="方正仿宋_GB2312"/>
      <w:b/>
      <w:bCs/>
      <w:sz w:val="18"/>
    </w:rPr>
  </w:style>
  <w:style w:type="paragraph" w:customStyle="1" w:styleId="196">
    <w:name w:val="标题 31"/>
    <w:basedOn w:val="1"/>
    <w:next w:val="1"/>
    <w:link w:val="212"/>
    <w:qFormat/>
    <w:uiPriority w:val="0"/>
    <w:pPr>
      <w:keepNext/>
      <w:jc w:val="center"/>
      <w:outlineLvl w:val="2"/>
    </w:pPr>
    <w:rPr>
      <w:rFonts w:eastAsia="方正仿宋_GB2312"/>
      <w:b/>
      <w:bCs/>
      <w:sz w:val="15"/>
    </w:rPr>
  </w:style>
  <w:style w:type="paragraph" w:customStyle="1" w:styleId="197">
    <w:name w:val="标题 41"/>
    <w:basedOn w:val="1"/>
    <w:next w:val="1"/>
    <w:link w:val="213"/>
    <w:qFormat/>
    <w:uiPriority w:val="0"/>
    <w:pPr>
      <w:keepNext/>
      <w:jc w:val="center"/>
      <w:outlineLvl w:val="3"/>
    </w:pPr>
    <w:rPr>
      <w:rFonts w:eastAsia="方正仿宋_GB2312"/>
      <w:b/>
      <w:bCs/>
      <w:sz w:val="13"/>
    </w:rPr>
  </w:style>
  <w:style w:type="paragraph" w:customStyle="1" w:styleId="198">
    <w:name w:val="标题 51"/>
    <w:basedOn w:val="1"/>
    <w:next w:val="1"/>
    <w:link w:val="214"/>
    <w:qFormat/>
    <w:uiPriority w:val="99"/>
    <w:pPr>
      <w:keepNext/>
      <w:numPr>
        <w:ilvl w:val="0"/>
        <w:numId w:val="1"/>
      </w:numPr>
      <w:outlineLvl w:val="4"/>
    </w:pPr>
    <w:rPr>
      <w:rFonts w:ascii="方正仿宋_GB2312" w:eastAsia="方正仿宋_GB2312"/>
      <w:bCs/>
      <w:sz w:val="28"/>
    </w:rPr>
  </w:style>
  <w:style w:type="paragraph" w:customStyle="1" w:styleId="199">
    <w:name w:val="标题 61"/>
    <w:basedOn w:val="1"/>
    <w:next w:val="1"/>
    <w:link w:val="215"/>
    <w:qFormat/>
    <w:uiPriority w:val="0"/>
    <w:pPr>
      <w:keepNext/>
      <w:keepLines/>
      <w:tabs>
        <w:tab w:val="left" w:pos="1152"/>
      </w:tabs>
      <w:spacing w:before="240" w:after="64" w:line="320" w:lineRule="atLeast"/>
      <w:ind w:left="1152" w:hanging="1152"/>
      <w:outlineLvl w:val="5"/>
    </w:pPr>
    <w:rPr>
      <w:rFonts w:ascii="Arial" w:hAnsi="Arial" w:eastAsia="黑体"/>
      <w:b/>
      <w:sz w:val="24"/>
      <w:szCs w:val="24"/>
    </w:rPr>
  </w:style>
  <w:style w:type="paragraph" w:customStyle="1" w:styleId="200">
    <w:name w:val="标题 71"/>
    <w:basedOn w:val="1"/>
    <w:next w:val="1"/>
    <w:link w:val="216"/>
    <w:qFormat/>
    <w:uiPriority w:val="0"/>
    <w:pPr>
      <w:keepNext/>
      <w:keepLines/>
      <w:tabs>
        <w:tab w:val="left" w:pos="1296"/>
      </w:tabs>
      <w:spacing w:before="240" w:after="64" w:line="320" w:lineRule="atLeast"/>
      <w:ind w:left="1296" w:hanging="1296"/>
      <w:outlineLvl w:val="6"/>
    </w:pPr>
    <w:rPr>
      <w:b/>
      <w:sz w:val="24"/>
      <w:szCs w:val="24"/>
    </w:rPr>
  </w:style>
  <w:style w:type="paragraph" w:customStyle="1" w:styleId="201">
    <w:name w:val="标题 81"/>
    <w:basedOn w:val="1"/>
    <w:next w:val="1"/>
    <w:link w:val="217"/>
    <w:qFormat/>
    <w:uiPriority w:val="0"/>
    <w:pPr>
      <w:keepNext/>
      <w:keepLines/>
      <w:tabs>
        <w:tab w:val="left" w:pos="1440"/>
      </w:tabs>
      <w:spacing w:before="240" w:after="64" w:line="320" w:lineRule="atLeast"/>
      <w:ind w:left="1440" w:hanging="1440"/>
      <w:outlineLvl w:val="7"/>
    </w:pPr>
    <w:rPr>
      <w:rFonts w:ascii="Arial" w:hAnsi="Arial" w:eastAsia="黑体"/>
      <w:sz w:val="24"/>
      <w:szCs w:val="24"/>
    </w:rPr>
  </w:style>
  <w:style w:type="paragraph" w:customStyle="1" w:styleId="202">
    <w:name w:val="标题 91"/>
    <w:basedOn w:val="1"/>
    <w:next w:val="1"/>
    <w:link w:val="218"/>
    <w:qFormat/>
    <w:uiPriority w:val="0"/>
    <w:pPr>
      <w:keepNext/>
      <w:keepLines/>
      <w:tabs>
        <w:tab w:val="left" w:pos="1584"/>
      </w:tabs>
      <w:spacing w:before="240" w:after="64" w:line="320" w:lineRule="atLeast"/>
      <w:ind w:left="1584" w:hanging="1584"/>
      <w:outlineLvl w:val="8"/>
    </w:pPr>
    <w:rPr>
      <w:rFonts w:ascii="Arial" w:hAnsi="Arial" w:eastAsia="黑体"/>
      <w:szCs w:val="24"/>
    </w:rPr>
  </w:style>
  <w:style w:type="character" w:customStyle="1" w:styleId="203">
    <w:name w:val="默认段落字体1"/>
    <w:link w:val="1"/>
    <w:unhideWhenUsed/>
    <w:qFormat/>
    <w:uiPriority w:val="1"/>
  </w:style>
  <w:style w:type="table" w:customStyle="1" w:styleId="204">
    <w:name w:val="普通表格1"/>
    <w:unhideWhenUsed/>
    <w:qFormat/>
    <w:uiPriority w:val="99"/>
  </w:style>
  <w:style w:type="paragraph" w:customStyle="1" w:styleId="205">
    <w:name w:val="正文首行缩进 21"/>
    <w:basedOn w:val="206"/>
    <w:next w:val="1"/>
    <w:link w:val="209"/>
    <w:qFormat/>
    <w:uiPriority w:val="0"/>
    <w:pPr>
      <w:spacing w:after="120"/>
      <w:ind w:firstLine="210"/>
    </w:pPr>
    <w:rPr>
      <w:rFonts w:ascii="Cambria Math" w:hAnsi="新宋体" w:eastAsia="Cambria Math"/>
      <w:b w:val="0"/>
      <w:color w:val="000000"/>
      <w:spacing w:val="-8"/>
      <w:sz w:val="21"/>
    </w:rPr>
  </w:style>
  <w:style w:type="paragraph" w:customStyle="1" w:styleId="206">
    <w:name w:val="正文文本缩进1"/>
    <w:basedOn w:val="1"/>
    <w:next w:val="207"/>
    <w:link w:val="208"/>
    <w:qFormat/>
    <w:uiPriority w:val="0"/>
    <w:pPr>
      <w:ind w:firstLine="576"/>
    </w:pPr>
    <w:rPr>
      <w:b/>
      <w:sz w:val="30"/>
    </w:rPr>
  </w:style>
  <w:style w:type="paragraph" w:customStyle="1" w:styleId="207">
    <w:name w:val="寄信人地址1"/>
    <w:basedOn w:val="1"/>
    <w:unhideWhenUsed/>
    <w:qFormat/>
    <w:uiPriority w:val="99"/>
    <w:rPr>
      <w:rFonts w:hint="eastAsia" w:ascii="Arial" w:hAnsi="Arial"/>
      <w:sz w:val="24"/>
      <w:szCs w:val="24"/>
    </w:rPr>
  </w:style>
  <w:style w:type="character" w:customStyle="1" w:styleId="208">
    <w:name w:val="正文文本缩进 Char"/>
    <w:link w:val="206"/>
    <w:qFormat/>
    <w:uiPriority w:val="0"/>
    <w:rPr>
      <w:rFonts w:ascii="Times New Roman" w:hAnsi="Times New Roman" w:eastAsia="宋体" w:cs="Times New Roman"/>
      <w:b/>
      <w:sz w:val="30"/>
      <w:szCs w:val="20"/>
    </w:rPr>
  </w:style>
  <w:style w:type="character" w:customStyle="1" w:styleId="209">
    <w:name w:val="正文首行缩进 2 Char"/>
    <w:link w:val="205"/>
    <w:qFormat/>
    <w:uiPriority w:val="0"/>
    <w:rPr>
      <w:rFonts w:ascii="Cambria Math" w:hAnsi="新宋体" w:eastAsia="Cambria Math" w:cs="Times New Roman"/>
      <w:color w:val="000000"/>
      <w:spacing w:val="-8"/>
      <w:sz w:val="21"/>
      <w:szCs w:val="20"/>
    </w:rPr>
  </w:style>
  <w:style w:type="character" w:customStyle="1" w:styleId="210">
    <w:name w:val="标题 1 Char"/>
    <w:link w:val="194"/>
    <w:qFormat/>
    <w:uiPriority w:val="0"/>
    <w:rPr>
      <w:rFonts w:ascii="方正仿宋_GB2312" w:hAnsi="Times New Roman" w:eastAsia="方正仿宋_GB2312" w:cs="Times New Roman"/>
      <w:b/>
      <w:sz w:val="28"/>
      <w:szCs w:val="20"/>
    </w:rPr>
  </w:style>
  <w:style w:type="character" w:customStyle="1" w:styleId="211">
    <w:name w:val="标题 2 Char"/>
    <w:link w:val="195"/>
    <w:qFormat/>
    <w:uiPriority w:val="0"/>
    <w:rPr>
      <w:rFonts w:ascii="方正仿宋_GB2312" w:hAnsi="Times New Roman" w:eastAsia="方正仿宋_GB2312" w:cs="Times New Roman"/>
      <w:b/>
      <w:bCs/>
      <w:sz w:val="18"/>
      <w:szCs w:val="20"/>
    </w:rPr>
  </w:style>
  <w:style w:type="character" w:customStyle="1" w:styleId="212">
    <w:name w:val="标题 3 Char"/>
    <w:link w:val="196"/>
    <w:qFormat/>
    <w:uiPriority w:val="0"/>
    <w:rPr>
      <w:rFonts w:ascii="Times New Roman" w:hAnsi="Times New Roman" w:eastAsia="方正仿宋_GB2312" w:cs="Times New Roman"/>
      <w:b/>
      <w:bCs/>
      <w:sz w:val="15"/>
      <w:szCs w:val="20"/>
    </w:rPr>
  </w:style>
  <w:style w:type="character" w:customStyle="1" w:styleId="213">
    <w:name w:val="标题 4 Char"/>
    <w:link w:val="197"/>
    <w:qFormat/>
    <w:uiPriority w:val="0"/>
    <w:rPr>
      <w:rFonts w:ascii="Times New Roman" w:hAnsi="Times New Roman" w:eastAsia="方正仿宋_GB2312" w:cs="Times New Roman"/>
      <w:b/>
      <w:bCs/>
      <w:sz w:val="13"/>
      <w:szCs w:val="20"/>
    </w:rPr>
  </w:style>
  <w:style w:type="character" w:customStyle="1" w:styleId="214">
    <w:name w:val="标题 5 Char"/>
    <w:link w:val="198"/>
    <w:qFormat/>
    <w:uiPriority w:val="99"/>
    <w:rPr>
      <w:rFonts w:ascii="方正仿宋_GB2312" w:hAnsi="Times New Roman" w:eastAsia="方正仿宋_GB2312"/>
      <w:bCs/>
      <w:sz w:val="28"/>
    </w:rPr>
  </w:style>
  <w:style w:type="character" w:customStyle="1" w:styleId="215">
    <w:name w:val="标题 6 Char"/>
    <w:link w:val="199"/>
    <w:qFormat/>
    <w:uiPriority w:val="0"/>
    <w:rPr>
      <w:rFonts w:ascii="Arial" w:hAnsi="Arial" w:eastAsia="黑体"/>
      <w:b/>
      <w:sz w:val="24"/>
      <w:szCs w:val="24"/>
    </w:rPr>
  </w:style>
  <w:style w:type="character" w:customStyle="1" w:styleId="216">
    <w:name w:val="标题 7 Char"/>
    <w:link w:val="200"/>
    <w:qFormat/>
    <w:uiPriority w:val="0"/>
    <w:rPr>
      <w:rFonts w:ascii="Times New Roman" w:hAnsi="Times New Roman"/>
      <w:b/>
      <w:sz w:val="24"/>
      <w:szCs w:val="24"/>
    </w:rPr>
  </w:style>
  <w:style w:type="character" w:customStyle="1" w:styleId="217">
    <w:name w:val="标题 8 Char"/>
    <w:link w:val="201"/>
    <w:qFormat/>
    <w:uiPriority w:val="0"/>
    <w:rPr>
      <w:rFonts w:ascii="Arial" w:hAnsi="Arial" w:eastAsia="黑体"/>
      <w:sz w:val="24"/>
      <w:szCs w:val="24"/>
    </w:rPr>
  </w:style>
  <w:style w:type="character" w:customStyle="1" w:styleId="218">
    <w:name w:val="标题 9 Char"/>
    <w:link w:val="202"/>
    <w:qFormat/>
    <w:uiPriority w:val="0"/>
    <w:rPr>
      <w:rFonts w:ascii="Arial" w:hAnsi="Arial" w:eastAsia="黑体"/>
      <w:sz w:val="21"/>
      <w:szCs w:val="24"/>
    </w:rPr>
  </w:style>
  <w:style w:type="paragraph" w:customStyle="1" w:styleId="219">
    <w:name w:val="列表 31"/>
    <w:basedOn w:val="1"/>
    <w:qFormat/>
    <w:uiPriority w:val="0"/>
    <w:pPr>
      <w:ind w:left="1260" w:hanging="420"/>
    </w:pPr>
    <w:rPr>
      <w:rFonts w:hAnsi="宋体"/>
      <w:color w:val="000000"/>
      <w:spacing w:val="-8"/>
    </w:rPr>
  </w:style>
  <w:style w:type="paragraph" w:customStyle="1" w:styleId="220">
    <w:name w:val="目录 71"/>
    <w:basedOn w:val="1"/>
    <w:next w:val="1"/>
    <w:qFormat/>
    <w:uiPriority w:val="0"/>
    <w:pPr>
      <w:spacing w:line="288" w:lineRule="auto"/>
      <w:ind w:left="1260" w:firstLine="420"/>
      <w:jc w:val="left"/>
    </w:pPr>
    <w:rPr>
      <w:sz w:val="18"/>
      <w:szCs w:val="18"/>
    </w:rPr>
  </w:style>
  <w:style w:type="paragraph" w:customStyle="1" w:styleId="221">
    <w:name w:val="索引 81"/>
    <w:basedOn w:val="1"/>
    <w:next w:val="1"/>
    <w:qFormat/>
    <w:uiPriority w:val="0"/>
    <w:pPr>
      <w:ind w:left="1400"/>
    </w:pPr>
  </w:style>
  <w:style w:type="paragraph" w:customStyle="1" w:styleId="222">
    <w:name w:val="正文缩进11"/>
    <w:basedOn w:val="1"/>
    <w:link w:val="223"/>
    <w:unhideWhenUsed/>
    <w:qFormat/>
    <w:uiPriority w:val="0"/>
    <w:pPr>
      <w:ind w:firstLine="420"/>
    </w:pPr>
    <w:rPr>
      <w:szCs w:val="24"/>
    </w:rPr>
  </w:style>
  <w:style w:type="character" w:customStyle="1" w:styleId="223">
    <w:name w:val="正文缩进 Char"/>
    <w:link w:val="222"/>
    <w:qFormat/>
    <w:uiPriority w:val="0"/>
    <w:rPr>
      <w:rFonts w:ascii="Times New Roman" w:hAnsi="Times New Roman"/>
      <w:sz w:val="21"/>
      <w:szCs w:val="24"/>
    </w:rPr>
  </w:style>
  <w:style w:type="paragraph" w:customStyle="1" w:styleId="224">
    <w:name w:val="题注1"/>
    <w:basedOn w:val="1"/>
    <w:next w:val="1"/>
    <w:qFormat/>
    <w:uiPriority w:val="0"/>
    <w:rPr>
      <w:rFonts w:ascii="Arial" w:hAnsi="Arial" w:eastAsia="黑体" w:cs="Arial"/>
      <w:sz w:val="20"/>
    </w:rPr>
  </w:style>
  <w:style w:type="paragraph" w:customStyle="1" w:styleId="225">
    <w:name w:val="索引 51"/>
    <w:basedOn w:val="1"/>
    <w:next w:val="1"/>
    <w:unhideWhenUsed/>
    <w:qFormat/>
    <w:uiPriority w:val="0"/>
    <w:pPr>
      <w:ind w:left="800"/>
    </w:pPr>
  </w:style>
  <w:style w:type="paragraph" w:customStyle="1" w:styleId="226">
    <w:name w:val="列表项目符号1"/>
    <w:basedOn w:val="1"/>
    <w:qFormat/>
    <w:uiPriority w:val="0"/>
    <w:pPr>
      <w:tabs>
        <w:tab w:val="left" w:pos="360"/>
      </w:tabs>
      <w:ind w:left="360" w:firstLine="200"/>
    </w:pPr>
    <w:rPr>
      <w:rFonts w:hAnsi="宋体"/>
      <w:color w:val="000000"/>
      <w:spacing w:val="-8"/>
    </w:rPr>
  </w:style>
  <w:style w:type="paragraph" w:customStyle="1" w:styleId="227">
    <w:name w:val="文档结构图1"/>
    <w:basedOn w:val="1"/>
    <w:link w:val="228"/>
    <w:qFormat/>
    <w:uiPriority w:val="0"/>
    <w:pPr>
      <w:shd w:val="clear" w:color="auto" w:fill="000080"/>
    </w:pPr>
    <w:rPr>
      <w:sz w:val="20"/>
    </w:rPr>
  </w:style>
  <w:style w:type="character" w:customStyle="1" w:styleId="228">
    <w:name w:val="文档结构图 Char"/>
    <w:link w:val="227"/>
    <w:qFormat/>
    <w:uiPriority w:val="0"/>
    <w:rPr>
      <w:rFonts w:ascii="Times New Roman" w:hAnsi="Times New Roman" w:eastAsia="宋体" w:cs="Times New Roman"/>
      <w:szCs w:val="20"/>
      <w:shd w:val="clear" w:color="auto" w:fill="000080"/>
    </w:rPr>
  </w:style>
  <w:style w:type="paragraph" w:customStyle="1" w:styleId="229">
    <w:name w:val="批注文字1"/>
    <w:basedOn w:val="1"/>
    <w:link w:val="230"/>
    <w:qFormat/>
    <w:uiPriority w:val="0"/>
    <w:pPr>
      <w:jc w:val="left"/>
    </w:pPr>
    <w:rPr>
      <w:sz w:val="20"/>
      <w:szCs w:val="24"/>
    </w:rPr>
  </w:style>
  <w:style w:type="character" w:customStyle="1" w:styleId="230">
    <w:name w:val="批注文字 Char"/>
    <w:link w:val="229"/>
    <w:qFormat/>
    <w:uiPriority w:val="0"/>
    <w:rPr>
      <w:rFonts w:ascii="Times New Roman" w:hAnsi="Times New Roman" w:eastAsia="宋体" w:cs="Times New Roman"/>
      <w:szCs w:val="24"/>
    </w:rPr>
  </w:style>
  <w:style w:type="paragraph" w:customStyle="1" w:styleId="231">
    <w:name w:val="索引 61"/>
    <w:basedOn w:val="1"/>
    <w:next w:val="1"/>
    <w:qFormat/>
    <w:uiPriority w:val="0"/>
    <w:pPr>
      <w:ind w:left="1000"/>
    </w:pPr>
  </w:style>
  <w:style w:type="paragraph" w:customStyle="1" w:styleId="232">
    <w:name w:val="称呼1"/>
    <w:basedOn w:val="1"/>
    <w:next w:val="1"/>
    <w:link w:val="233"/>
    <w:qFormat/>
    <w:uiPriority w:val="0"/>
    <w:pPr>
      <w:spacing w:after="20" w:line="288" w:lineRule="auto"/>
      <w:ind w:firstLine="420"/>
    </w:pPr>
    <w:rPr>
      <w:sz w:val="28"/>
      <w:szCs w:val="24"/>
    </w:rPr>
  </w:style>
  <w:style w:type="character" w:customStyle="1" w:styleId="233">
    <w:name w:val="称呼 Char"/>
    <w:link w:val="232"/>
    <w:qFormat/>
    <w:uiPriority w:val="0"/>
    <w:rPr>
      <w:rFonts w:ascii="Times New Roman" w:hAnsi="Times New Roman"/>
      <w:sz w:val="28"/>
      <w:szCs w:val="24"/>
    </w:rPr>
  </w:style>
  <w:style w:type="paragraph" w:customStyle="1" w:styleId="234">
    <w:name w:val="正文文本 31"/>
    <w:basedOn w:val="1"/>
    <w:link w:val="235"/>
    <w:qFormat/>
    <w:uiPriority w:val="0"/>
    <w:pPr>
      <w:spacing w:after="20" w:line="288" w:lineRule="auto"/>
      <w:jc w:val="center"/>
    </w:pPr>
    <w:rPr>
      <w:b/>
      <w:bCs/>
      <w:sz w:val="24"/>
      <w:szCs w:val="24"/>
    </w:rPr>
  </w:style>
  <w:style w:type="character" w:customStyle="1" w:styleId="235">
    <w:name w:val="正文文本 3 Char"/>
    <w:link w:val="234"/>
    <w:qFormat/>
    <w:uiPriority w:val="0"/>
    <w:rPr>
      <w:rFonts w:ascii="Times New Roman" w:hAnsi="Times New Roman"/>
      <w:b/>
      <w:bCs/>
      <w:sz w:val="24"/>
      <w:szCs w:val="24"/>
    </w:rPr>
  </w:style>
  <w:style w:type="paragraph" w:customStyle="1" w:styleId="236">
    <w:name w:val="结束语1"/>
    <w:basedOn w:val="1"/>
    <w:link w:val="237"/>
    <w:qFormat/>
    <w:uiPriority w:val="0"/>
    <w:pPr>
      <w:spacing w:after="20" w:line="288" w:lineRule="auto"/>
      <w:ind w:left="100" w:firstLine="420"/>
    </w:pPr>
    <w:rPr>
      <w:sz w:val="28"/>
      <w:szCs w:val="24"/>
    </w:rPr>
  </w:style>
  <w:style w:type="character" w:customStyle="1" w:styleId="237">
    <w:name w:val="结束语 Char"/>
    <w:link w:val="236"/>
    <w:qFormat/>
    <w:uiPriority w:val="0"/>
    <w:rPr>
      <w:rFonts w:ascii="Times New Roman" w:hAnsi="Times New Roman"/>
      <w:sz w:val="28"/>
      <w:szCs w:val="24"/>
    </w:rPr>
  </w:style>
  <w:style w:type="character" w:customStyle="1" w:styleId="238">
    <w:name w:val="正文文本 Char"/>
    <w:link w:val="2"/>
    <w:qFormat/>
    <w:uiPriority w:val="0"/>
    <w:rPr>
      <w:rFonts w:ascii="华文中宋" w:hAnsi="Times New Roman" w:eastAsia="华文中宋" w:cs="Times New Roman"/>
      <w:bCs/>
      <w:sz w:val="28"/>
      <w:szCs w:val="20"/>
    </w:rPr>
  </w:style>
  <w:style w:type="paragraph" w:customStyle="1" w:styleId="239">
    <w:name w:val="列表 21"/>
    <w:basedOn w:val="1"/>
    <w:qFormat/>
    <w:uiPriority w:val="0"/>
    <w:pPr>
      <w:ind w:left="840" w:hanging="420"/>
    </w:pPr>
    <w:rPr>
      <w:rFonts w:hAnsi="宋体"/>
      <w:color w:val="000000"/>
      <w:spacing w:val="-8"/>
    </w:rPr>
  </w:style>
  <w:style w:type="paragraph" w:customStyle="1" w:styleId="240">
    <w:name w:val="列表接续1"/>
    <w:basedOn w:val="1"/>
    <w:qFormat/>
    <w:uiPriority w:val="0"/>
    <w:pPr>
      <w:spacing w:after="120"/>
      <w:ind w:left="420" w:firstLine="448"/>
    </w:pPr>
    <w:rPr>
      <w:rFonts w:hAnsi="宋体"/>
      <w:color w:val="000000"/>
      <w:spacing w:val="-8"/>
    </w:rPr>
  </w:style>
  <w:style w:type="paragraph" w:customStyle="1" w:styleId="241">
    <w:name w:val="文本块1"/>
    <w:basedOn w:val="1"/>
    <w:qFormat/>
    <w:uiPriority w:val="0"/>
    <w:pPr>
      <w:ind w:left="420" w:right="33"/>
      <w:jc w:val="left"/>
    </w:pPr>
    <w:rPr>
      <w:sz w:val="24"/>
    </w:rPr>
  </w:style>
  <w:style w:type="paragraph" w:customStyle="1" w:styleId="242">
    <w:name w:val="列表项目符号 21"/>
    <w:basedOn w:val="1"/>
    <w:qFormat/>
    <w:uiPriority w:val="0"/>
    <w:pPr>
      <w:tabs>
        <w:tab w:val="left" w:pos="780"/>
      </w:tabs>
      <w:ind w:left="780" w:firstLine="200"/>
    </w:pPr>
    <w:rPr>
      <w:rFonts w:hAnsi="宋体"/>
      <w:color w:val="000000"/>
      <w:spacing w:val="-8"/>
    </w:rPr>
  </w:style>
  <w:style w:type="paragraph" w:customStyle="1" w:styleId="243">
    <w:name w:val="索引 41"/>
    <w:basedOn w:val="1"/>
    <w:next w:val="1"/>
    <w:unhideWhenUsed/>
    <w:qFormat/>
    <w:uiPriority w:val="0"/>
    <w:pPr>
      <w:ind w:left="600"/>
    </w:pPr>
  </w:style>
  <w:style w:type="paragraph" w:customStyle="1" w:styleId="244">
    <w:name w:val="目录 51"/>
    <w:basedOn w:val="1"/>
    <w:next w:val="1"/>
    <w:qFormat/>
    <w:uiPriority w:val="0"/>
    <w:pPr>
      <w:spacing w:line="288" w:lineRule="auto"/>
      <w:ind w:left="840" w:firstLine="420"/>
      <w:jc w:val="left"/>
    </w:pPr>
    <w:rPr>
      <w:sz w:val="18"/>
      <w:szCs w:val="18"/>
    </w:rPr>
  </w:style>
  <w:style w:type="paragraph" w:customStyle="1" w:styleId="245">
    <w:name w:val="目录 31"/>
    <w:basedOn w:val="1"/>
    <w:next w:val="1"/>
    <w:qFormat/>
    <w:uiPriority w:val="0"/>
    <w:pPr>
      <w:spacing w:line="288" w:lineRule="auto"/>
      <w:ind w:left="420" w:firstLine="420"/>
      <w:jc w:val="left"/>
    </w:pPr>
    <w:rPr>
      <w:iCs/>
      <w:sz w:val="20"/>
    </w:rPr>
  </w:style>
  <w:style w:type="paragraph" w:customStyle="1" w:styleId="246">
    <w:name w:val="纯文本11"/>
    <w:basedOn w:val="1"/>
    <w:link w:val="247"/>
    <w:qFormat/>
    <w:uiPriority w:val="0"/>
    <w:rPr>
      <w:rFonts w:ascii="宋体" w:hAnsi="Courier New"/>
      <w:szCs w:val="21"/>
    </w:rPr>
  </w:style>
  <w:style w:type="character" w:customStyle="1" w:styleId="247">
    <w:name w:val="纯文本 Char"/>
    <w:link w:val="246"/>
    <w:qFormat/>
    <w:uiPriority w:val="0"/>
    <w:rPr>
      <w:rFonts w:ascii="宋体" w:hAnsi="Courier New"/>
      <w:sz w:val="21"/>
      <w:szCs w:val="21"/>
    </w:rPr>
  </w:style>
  <w:style w:type="paragraph" w:customStyle="1" w:styleId="248">
    <w:name w:val="列表项目符号 51"/>
    <w:basedOn w:val="1"/>
    <w:qFormat/>
    <w:uiPriority w:val="0"/>
    <w:pPr>
      <w:widowControl/>
      <w:tabs>
        <w:tab w:val="left" w:pos="2040"/>
      </w:tabs>
      <w:spacing w:line="360" w:lineRule="exact"/>
      <w:ind w:left="2040" w:hanging="360"/>
    </w:pPr>
    <w:rPr>
      <w:rFonts w:eastAsia="方正仿宋_GB2312"/>
      <w:sz w:val="24"/>
    </w:rPr>
  </w:style>
  <w:style w:type="paragraph" w:customStyle="1" w:styleId="249">
    <w:name w:val="目录 81"/>
    <w:basedOn w:val="1"/>
    <w:next w:val="1"/>
    <w:qFormat/>
    <w:uiPriority w:val="0"/>
    <w:pPr>
      <w:spacing w:line="288" w:lineRule="auto"/>
      <w:ind w:left="1470" w:firstLine="420"/>
      <w:jc w:val="left"/>
    </w:pPr>
    <w:rPr>
      <w:sz w:val="18"/>
      <w:szCs w:val="18"/>
    </w:rPr>
  </w:style>
  <w:style w:type="paragraph" w:customStyle="1" w:styleId="250">
    <w:name w:val="索引 31"/>
    <w:basedOn w:val="1"/>
    <w:next w:val="1"/>
    <w:qFormat/>
    <w:uiPriority w:val="0"/>
    <w:pPr>
      <w:ind w:left="400"/>
    </w:pPr>
  </w:style>
  <w:style w:type="paragraph" w:customStyle="1" w:styleId="251">
    <w:name w:val="日期1"/>
    <w:basedOn w:val="1"/>
    <w:next w:val="1"/>
    <w:link w:val="252"/>
    <w:qFormat/>
    <w:uiPriority w:val="0"/>
    <w:rPr>
      <w:rFonts w:eastAsia="黑体"/>
      <w:b/>
      <w:sz w:val="36"/>
    </w:rPr>
  </w:style>
  <w:style w:type="character" w:customStyle="1" w:styleId="252">
    <w:name w:val="日期 Char"/>
    <w:link w:val="251"/>
    <w:qFormat/>
    <w:uiPriority w:val="0"/>
    <w:rPr>
      <w:rFonts w:ascii="Times New Roman" w:hAnsi="Times New Roman" w:eastAsia="黑体" w:cs="Times New Roman"/>
      <w:b/>
      <w:sz w:val="36"/>
      <w:szCs w:val="20"/>
    </w:rPr>
  </w:style>
  <w:style w:type="paragraph" w:customStyle="1" w:styleId="253">
    <w:name w:val="正文文本缩进 21"/>
    <w:basedOn w:val="1"/>
    <w:link w:val="254"/>
    <w:qFormat/>
    <w:uiPriority w:val="0"/>
    <w:pPr>
      <w:ind w:left="900"/>
    </w:pPr>
    <w:rPr>
      <w:rFonts w:ascii="方正仿宋_GB2312" w:eastAsia="方正仿宋_GB2312"/>
      <w:b/>
      <w:sz w:val="28"/>
    </w:rPr>
  </w:style>
  <w:style w:type="character" w:customStyle="1" w:styleId="254">
    <w:name w:val="正文文本缩进 2 Char"/>
    <w:link w:val="253"/>
    <w:qFormat/>
    <w:uiPriority w:val="0"/>
    <w:rPr>
      <w:rFonts w:ascii="方正仿宋_GB2312" w:hAnsi="Times New Roman" w:eastAsia="方正仿宋_GB2312" w:cs="Times New Roman"/>
      <w:b/>
      <w:sz w:val="28"/>
      <w:szCs w:val="20"/>
    </w:rPr>
  </w:style>
  <w:style w:type="paragraph" w:customStyle="1" w:styleId="255">
    <w:name w:val="批注框文本1"/>
    <w:basedOn w:val="1"/>
    <w:link w:val="256"/>
    <w:unhideWhenUsed/>
    <w:qFormat/>
    <w:uiPriority w:val="0"/>
    <w:rPr>
      <w:sz w:val="18"/>
      <w:szCs w:val="18"/>
    </w:rPr>
  </w:style>
  <w:style w:type="character" w:customStyle="1" w:styleId="256">
    <w:name w:val="批注框文本 Char"/>
    <w:link w:val="255"/>
    <w:qFormat/>
    <w:uiPriority w:val="0"/>
    <w:rPr>
      <w:rFonts w:ascii="Times New Roman" w:hAnsi="Times New Roman" w:eastAsia="宋体" w:cs="Times New Roman"/>
      <w:sz w:val="18"/>
      <w:szCs w:val="18"/>
    </w:rPr>
  </w:style>
  <w:style w:type="paragraph" w:customStyle="1" w:styleId="257">
    <w:name w:val="页脚1"/>
    <w:basedOn w:val="1"/>
    <w:link w:val="258"/>
    <w:unhideWhenUsed/>
    <w:qFormat/>
    <w:uiPriority w:val="99"/>
    <w:pPr>
      <w:tabs>
        <w:tab w:val="center" w:pos="4153"/>
        <w:tab w:val="right" w:pos="8306"/>
      </w:tabs>
      <w:jc w:val="left"/>
    </w:pPr>
    <w:rPr>
      <w:sz w:val="18"/>
      <w:szCs w:val="18"/>
    </w:rPr>
  </w:style>
  <w:style w:type="character" w:customStyle="1" w:styleId="258">
    <w:name w:val="页脚 Char"/>
    <w:link w:val="257"/>
    <w:qFormat/>
    <w:uiPriority w:val="99"/>
    <w:rPr>
      <w:sz w:val="18"/>
      <w:szCs w:val="18"/>
    </w:rPr>
  </w:style>
  <w:style w:type="paragraph" w:customStyle="1" w:styleId="259">
    <w:name w:val="页眉11"/>
    <w:basedOn w:val="1"/>
    <w:link w:val="260"/>
    <w:unhideWhenUsed/>
    <w:qFormat/>
    <w:uiPriority w:val="99"/>
    <w:pPr>
      <w:pBdr>
        <w:bottom w:val="single" w:color="000000" w:sz="6" w:space="1"/>
      </w:pBdr>
      <w:tabs>
        <w:tab w:val="center" w:pos="4153"/>
        <w:tab w:val="right" w:pos="8306"/>
      </w:tabs>
      <w:jc w:val="center"/>
    </w:pPr>
    <w:rPr>
      <w:sz w:val="18"/>
      <w:szCs w:val="18"/>
    </w:rPr>
  </w:style>
  <w:style w:type="character" w:customStyle="1" w:styleId="260">
    <w:name w:val="页眉 Char"/>
    <w:link w:val="259"/>
    <w:qFormat/>
    <w:uiPriority w:val="99"/>
    <w:rPr>
      <w:sz w:val="18"/>
      <w:szCs w:val="18"/>
    </w:rPr>
  </w:style>
  <w:style w:type="paragraph" w:customStyle="1" w:styleId="261">
    <w:name w:val="目录 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62">
    <w:name w:val="目录 41"/>
    <w:basedOn w:val="1"/>
    <w:next w:val="1"/>
    <w:qFormat/>
    <w:uiPriority w:val="0"/>
    <w:pPr>
      <w:spacing w:line="288" w:lineRule="auto"/>
      <w:ind w:left="630" w:firstLine="420"/>
      <w:jc w:val="left"/>
    </w:pPr>
    <w:rPr>
      <w:sz w:val="18"/>
      <w:szCs w:val="18"/>
    </w:rPr>
  </w:style>
  <w:style w:type="paragraph" w:customStyle="1" w:styleId="263">
    <w:name w:val="副标题1"/>
    <w:basedOn w:val="1"/>
    <w:next w:val="1"/>
    <w:link w:val="264"/>
    <w:qFormat/>
    <w:uiPriority w:val="0"/>
    <w:pPr>
      <w:jc w:val="left"/>
      <w:outlineLvl w:val="1"/>
    </w:pPr>
    <w:rPr>
      <w:rFonts w:ascii="Calibri Light" w:hAnsi="Calibri Light" w:eastAsia="仿宋"/>
      <w:b/>
      <w:bCs/>
      <w:sz w:val="28"/>
      <w:szCs w:val="32"/>
    </w:rPr>
  </w:style>
  <w:style w:type="character" w:customStyle="1" w:styleId="264">
    <w:name w:val="副标题 Char"/>
    <w:link w:val="263"/>
    <w:qFormat/>
    <w:uiPriority w:val="0"/>
    <w:rPr>
      <w:rFonts w:ascii="Calibri Light" w:hAnsi="Calibri Light" w:eastAsia="仿宋"/>
      <w:b/>
      <w:bCs/>
      <w:sz w:val="28"/>
      <w:szCs w:val="32"/>
    </w:rPr>
  </w:style>
  <w:style w:type="paragraph" w:customStyle="1" w:styleId="265">
    <w:name w:val="列表1"/>
    <w:basedOn w:val="1"/>
    <w:qFormat/>
    <w:uiPriority w:val="0"/>
    <w:pPr>
      <w:numPr>
        <w:ilvl w:val="0"/>
        <w:numId w:val="2"/>
      </w:numPr>
      <w:tabs>
        <w:tab w:val="left" w:pos="420"/>
      </w:tabs>
      <w:spacing w:after="20" w:line="288" w:lineRule="auto"/>
    </w:pPr>
    <w:rPr>
      <w:rFonts w:ascii="Calibri" w:hAnsi="Calibri"/>
      <w:lang w:val="en-GB"/>
    </w:rPr>
  </w:style>
  <w:style w:type="paragraph" w:customStyle="1" w:styleId="266">
    <w:name w:val="脚注文本1"/>
    <w:basedOn w:val="1"/>
    <w:link w:val="267"/>
    <w:qFormat/>
    <w:uiPriority w:val="0"/>
    <w:pPr>
      <w:spacing w:before="120" w:line="360" w:lineRule="auto"/>
      <w:ind w:firstLine="425"/>
      <w:jc w:val="left"/>
    </w:pPr>
    <w:rPr>
      <w:sz w:val="18"/>
    </w:rPr>
  </w:style>
  <w:style w:type="character" w:customStyle="1" w:styleId="267">
    <w:name w:val="脚注文本 Char"/>
    <w:link w:val="266"/>
    <w:qFormat/>
    <w:uiPriority w:val="0"/>
    <w:rPr>
      <w:rFonts w:ascii="Times New Roman" w:hAnsi="Times New Roman"/>
      <w:sz w:val="18"/>
    </w:rPr>
  </w:style>
  <w:style w:type="paragraph" w:customStyle="1" w:styleId="268">
    <w:name w:val="目录 61"/>
    <w:basedOn w:val="1"/>
    <w:next w:val="1"/>
    <w:qFormat/>
    <w:uiPriority w:val="0"/>
    <w:pPr>
      <w:spacing w:line="288" w:lineRule="auto"/>
      <w:ind w:left="1050" w:firstLine="420"/>
      <w:jc w:val="left"/>
    </w:pPr>
    <w:rPr>
      <w:sz w:val="18"/>
      <w:szCs w:val="18"/>
    </w:rPr>
  </w:style>
  <w:style w:type="paragraph" w:customStyle="1" w:styleId="269">
    <w:name w:val="列表 51"/>
    <w:basedOn w:val="1"/>
    <w:qFormat/>
    <w:uiPriority w:val="0"/>
    <w:pPr>
      <w:ind w:left="2100" w:hanging="420"/>
    </w:pPr>
    <w:rPr>
      <w:rFonts w:hAnsi="宋体"/>
      <w:color w:val="000000"/>
      <w:spacing w:val="-8"/>
    </w:rPr>
  </w:style>
  <w:style w:type="paragraph" w:customStyle="1" w:styleId="270">
    <w:name w:val="正文文本缩进 31"/>
    <w:basedOn w:val="1"/>
    <w:link w:val="271"/>
    <w:qFormat/>
    <w:uiPriority w:val="0"/>
    <w:pPr>
      <w:ind w:left="359" w:firstLine="359"/>
    </w:pPr>
    <w:rPr>
      <w:sz w:val="20"/>
    </w:rPr>
  </w:style>
  <w:style w:type="character" w:customStyle="1" w:styleId="271">
    <w:name w:val="正文文本缩进 3 Char"/>
    <w:link w:val="270"/>
    <w:qFormat/>
    <w:uiPriority w:val="0"/>
    <w:rPr>
      <w:rFonts w:ascii="Times New Roman" w:hAnsi="Times New Roman" w:eastAsia="宋体" w:cs="Times New Roman"/>
      <w:szCs w:val="20"/>
    </w:rPr>
  </w:style>
  <w:style w:type="paragraph" w:customStyle="1" w:styleId="272">
    <w:name w:val="索引 71"/>
    <w:basedOn w:val="1"/>
    <w:next w:val="1"/>
    <w:qFormat/>
    <w:uiPriority w:val="0"/>
    <w:pPr>
      <w:ind w:left="1200"/>
    </w:pPr>
  </w:style>
  <w:style w:type="paragraph" w:customStyle="1" w:styleId="273">
    <w:name w:val="索引 91"/>
    <w:basedOn w:val="1"/>
    <w:next w:val="1"/>
    <w:qFormat/>
    <w:uiPriority w:val="0"/>
    <w:pPr>
      <w:ind w:left="1600"/>
    </w:pPr>
  </w:style>
  <w:style w:type="paragraph" w:customStyle="1" w:styleId="274">
    <w:name w:val="目录 21"/>
    <w:basedOn w:val="1"/>
    <w:next w:val="1"/>
    <w:qFormat/>
    <w:uiPriority w:val="0"/>
    <w:pPr>
      <w:spacing w:line="288" w:lineRule="auto"/>
      <w:ind w:left="210" w:firstLine="420"/>
      <w:jc w:val="left"/>
    </w:pPr>
    <w:rPr>
      <w:smallCaps/>
      <w:sz w:val="20"/>
    </w:rPr>
  </w:style>
  <w:style w:type="paragraph" w:customStyle="1" w:styleId="275">
    <w:name w:val="目录 91"/>
    <w:basedOn w:val="1"/>
    <w:next w:val="1"/>
    <w:qFormat/>
    <w:uiPriority w:val="0"/>
    <w:pPr>
      <w:spacing w:line="288" w:lineRule="auto"/>
      <w:ind w:left="1680" w:firstLine="420"/>
      <w:jc w:val="left"/>
    </w:pPr>
    <w:rPr>
      <w:sz w:val="18"/>
      <w:szCs w:val="18"/>
    </w:rPr>
  </w:style>
  <w:style w:type="paragraph" w:customStyle="1" w:styleId="276">
    <w:name w:val="正文文本 21"/>
    <w:basedOn w:val="1"/>
    <w:link w:val="277"/>
    <w:qFormat/>
    <w:uiPriority w:val="0"/>
    <w:pPr>
      <w:spacing w:after="120" w:line="480" w:lineRule="auto"/>
    </w:pPr>
    <w:rPr>
      <w:sz w:val="20"/>
    </w:rPr>
  </w:style>
  <w:style w:type="character" w:customStyle="1" w:styleId="277">
    <w:name w:val="正文文本 2 Char"/>
    <w:link w:val="276"/>
    <w:qFormat/>
    <w:uiPriority w:val="0"/>
    <w:rPr>
      <w:rFonts w:ascii="Times New Roman" w:hAnsi="Times New Roman" w:eastAsia="宋体" w:cs="Times New Roman"/>
      <w:szCs w:val="20"/>
    </w:rPr>
  </w:style>
  <w:style w:type="paragraph" w:customStyle="1" w:styleId="278">
    <w:name w:val="列表 41"/>
    <w:basedOn w:val="1"/>
    <w:qFormat/>
    <w:uiPriority w:val="0"/>
    <w:pPr>
      <w:ind w:left="1680" w:hanging="420"/>
    </w:pPr>
    <w:rPr>
      <w:rFonts w:hAnsi="宋体"/>
      <w:color w:val="000000"/>
      <w:spacing w:val="-8"/>
    </w:rPr>
  </w:style>
  <w:style w:type="paragraph" w:customStyle="1" w:styleId="279">
    <w:name w:val="列表接续 21"/>
    <w:basedOn w:val="1"/>
    <w:qFormat/>
    <w:uiPriority w:val="0"/>
    <w:pPr>
      <w:spacing w:after="120"/>
      <w:ind w:left="840" w:firstLine="448"/>
    </w:pPr>
    <w:rPr>
      <w:rFonts w:hAnsi="宋体"/>
      <w:color w:val="000000"/>
      <w:spacing w:val="-8"/>
    </w:rPr>
  </w:style>
  <w:style w:type="paragraph" w:customStyle="1" w:styleId="280">
    <w:name w:val="信息标题1"/>
    <w:basedOn w:val="2"/>
    <w:link w:val="281"/>
    <w:qFormat/>
    <w:uiPriority w:val="0"/>
    <w:pPr>
      <w:keepLines/>
      <w:widowControl/>
      <w:spacing w:after="40" w:line="140" w:lineRule="atLeast"/>
      <w:ind w:left="360" w:firstLine="448"/>
      <w:jc w:val="left"/>
    </w:pPr>
    <w:rPr>
      <w:rFonts w:ascii="Garamond" w:hAnsi="Garamond" w:eastAsia="宋体"/>
      <w:bCs w:val="0"/>
      <w:color w:val="000000"/>
      <w:spacing w:val="-8"/>
      <w:sz w:val="18"/>
      <w:lang w:bidi="he-IL"/>
    </w:rPr>
  </w:style>
  <w:style w:type="character" w:customStyle="1" w:styleId="281">
    <w:name w:val="信息标题 Char"/>
    <w:link w:val="280"/>
    <w:qFormat/>
    <w:uiPriority w:val="0"/>
    <w:rPr>
      <w:rFonts w:ascii="Garamond" w:hAnsi="Garamond"/>
      <w:color w:val="000000"/>
      <w:spacing w:val="-8"/>
      <w:sz w:val="18"/>
      <w:lang w:bidi="he-IL"/>
    </w:rPr>
  </w:style>
  <w:style w:type="paragraph" w:customStyle="1" w:styleId="282">
    <w:name w:val="HTML 预设格式1"/>
    <w:basedOn w:val="1"/>
    <w:link w:val="28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rPr>
  </w:style>
  <w:style w:type="character" w:customStyle="1" w:styleId="283">
    <w:name w:val="HTML 预设格式 Char"/>
    <w:link w:val="282"/>
    <w:qFormat/>
    <w:uiPriority w:val="0"/>
    <w:rPr>
      <w:rFonts w:ascii="黑体" w:hAnsi="Courier New" w:eastAsia="黑体"/>
    </w:rPr>
  </w:style>
  <w:style w:type="paragraph" w:customStyle="1" w:styleId="284">
    <w:name w:val="普通(网站)1"/>
    <w:basedOn w:val="1"/>
    <w:link w:val="285"/>
    <w:qFormat/>
    <w:uiPriority w:val="0"/>
    <w:pPr>
      <w:widowControl/>
      <w:spacing w:before="100" w:beforeAutospacing="1" w:after="100" w:afterAutospacing="1" w:line="288" w:lineRule="auto"/>
      <w:ind w:firstLine="420"/>
      <w:jc w:val="left"/>
    </w:pPr>
    <w:rPr>
      <w:rFonts w:ascii="宋体" w:hAnsi="宋体"/>
      <w:sz w:val="24"/>
      <w:szCs w:val="24"/>
    </w:rPr>
  </w:style>
  <w:style w:type="character" w:customStyle="1" w:styleId="285">
    <w:name w:val="普通(网站) Char"/>
    <w:link w:val="284"/>
    <w:qFormat/>
    <w:uiPriority w:val="0"/>
    <w:rPr>
      <w:rFonts w:ascii="宋体" w:hAnsi="宋体"/>
      <w:sz w:val="24"/>
      <w:szCs w:val="24"/>
    </w:rPr>
  </w:style>
  <w:style w:type="paragraph" w:customStyle="1" w:styleId="286">
    <w:name w:val="列表接续 31"/>
    <w:basedOn w:val="1"/>
    <w:qFormat/>
    <w:uiPriority w:val="0"/>
    <w:pPr>
      <w:spacing w:after="120"/>
      <w:ind w:left="1260" w:firstLine="448"/>
    </w:pPr>
    <w:rPr>
      <w:rFonts w:hAnsi="宋体"/>
      <w:color w:val="000000"/>
      <w:spacing w:val="-8"/>
    </w:rPr>
  </w:style>
  <w:style w:type="paragraph" w:customStyle="1" w:styleId="287">
    <w:name w:val="索引 11"/>
    <w:basedOn w:val="1"/>
    <w:next w:val="1"/>
    <w:qFormat/>
    <w:uiPriority w:val="0"/>
  </w:style>
  <w:style w:type="paragraph" w:customStyle="1" w:styleId="288">
    <w:name w:val="索引 21"/>
    <w:basedOn w:val="1"/>
    <w:next w:val="1"/>
    <w:qFormat/>
    <w:uiPriority w:val="0"/>
    <w:pPr>
      <w:ind w:left="200"/>
    </w:pPr>
  </w:style>
  <w:style w:type="paragraph" w:customStyle="1" w:styleId="289">
    <w:name w:val="标题1"/>
    <w:basedOn w:val="1"/>
    <w:link w:val="290"/>
    <w:qFormat/>
    <w:uiPriority w:val="10"/>
    <w:pPr>
      <w:spacing w:before="240" w:after="60" w:line="288" w:lineRule="auto"/>
      <w:ind w:firstLine="420"/>
      <w:jc w:val="center"/>
      <w:outlineLvl w:val="0"/>
    </w:pPr>
    <w:rPr>
      <w:rFonts w:ascii="Arial" w:hAnsi="Arial"/>
      <w:b/>
      <w:bCs/>
      <w:sz w:val="32"/>
      <w:szCs w:val="32"/>
    </w:rPr>
  </w:style>
  <w:style w:type="character" w:customStyle="1" w:styleId="290">
    <w:name w:val="标题 Char"/>
    <w:link w:val="289"/>
    <w:qFormat/>
    <w:uiPriority w:val="10"/>
    <w:rPr>
      <w:rFonts w:ascii="Arial" w:hAnsi="Arial"/>
      <w:b/>
      <w:bCs/>
      <w:sz w:val="32"/>
      <w:szCs w:val="32"/>
    </w:rPr>
  </w:style>
  <w:style w:type="paragraph" w:customStyle="1" w:styleId="291">
    <w:name w:val="批注主题1"/>
    <w:basedOn w:val="229"/>
    <w:next w:val="229"/>
    <w:link w:val="292"/>
    <w:qFormat/>
    <w:uiPriority w:val="0"/>
    <w:rPr>
      <w:b/>
      <w:bCs/>
    </w:rPr>
  </w:style>
  <w:style w:type="character" w:customStyle="1" w:styleId="292">
    <w:name w:val="批注主题 Char"/>
    <w:link w:val="291"/>
    <w:qFormat/>
    <w:uiPriority w:val="0"/>
    <w:rPr>
      <w:rFonts w:ascii="Times New Roman" w:hAnsi="Times New Roman" w:eastAsia="宋体" w:cs="Times New Roman"/>
      <w:b/>
      <w:bCs/>
      <w:szCs w:val="24"/>
    </w:rPr>
  </w:style>
  <w:style w:type="character" w:customStyle="1" w:styleId="293">
    <w:name w:val="正文首行缩进 Char"/>
    <w:link w:val="3"/>
    <w:qFormat/>
    <w:uiPriority w:val="0"/>
    <w:rPr>
      <w:rFonts w:ascii="Times New Roman" w:hAnsi="Times New Roman" w:eastAsia="华文中宋" w:cs="Times New Roman"/>
      <w:sz w:val="21"/>
      <w:szCs w:val="20"/>
    </w:rPr>
  </w:style>
  <w:style w:type="table" w:customStyle="1" w:styleId="294">
    <w:name w:val="网格型1"/>
    <w:basedOn w:val="204"/>
    <w:qFormat/>
    <w:uiPriority w:val="0"/>
  </w:style>
  <w:style w:type="character" w:customStyle="1" w:styleId="295">
    <w:name w:val="要点1"/>
    <w:link w:val="1"/>
    <w:qFormat/>
    <w:uiPriority w:val="0"/>
    <w:rPr>
      <w:rFonts w:cs="Times New Roman"/>
      <w:b/>
      <w:bCs/>
    </w:rPr>
  </w:style>
  <w:style w:type="character" w:customStyle="1" w:styleId="296">
    <w:name w:val="页码1"/>
    <w:link w:val="1"/>
    <w:qFormat/>
    <w:uiPriority w:val="0"/>
    <w:rPr>
      <w:rFonts w:cs="Times New Roman"/>
    </w:rPr>
  </w:style>
  <w:style w:type="character" w:customStyle="1" w:styleId="297">
    <w:name w:val="已访问的超链接1"/>
    <w:link w:val="1"/>
    <w:qFormat/>
    <w:uiPriority w:val="0"/>
    <w:rPr>
      <w:rFonts w:cs="Times New Roman"/>
      <w:color w:val="000000"/>
      <w:u w:val="none"/>
    </w:rPr>
  </w:style>
  <w:style w:type="character" w:customStyle="1" w:styleId="298">
    <w:name w:val="强调1"/>
    <w:link w:val="1"/>
    <w:qFormat/>
    <w:uiPriority w:val="0"/>
    <w:rPr>
      <w:i/>
    </w:rPr>
  </w:style>
  <w:style w:type="character" w:customStyle="1" w:styleId="299">
    <w:name w:val="HTML 打字机1"/>
    <w:link w:val="1"/>
    <w:qFormat/>
    <w:uiPriority w:val="0"/>
    <w:rPr>
      <w:rFonts w:ascii="宋体" w:hAnsi="宋体" w:eastAsia="宋体" w:cs="宋体"/>
      <w:sz w:val="24"/>
      <w:szCs w:val="24"/>
    </w:rPr>
  </w:style>
  <w:style w:type="character" w:customStyle="1" w:styleId="300">
    <w:name w:val="超链接1"/>
    <w:link w:val="1"/>
    <w:qFormat/>
    <w:uiPriority w:val="99"/>
    <w:rPr>
      <w:color w:val="000000"/>
      <w:u w:val="none"/>
    </w:rPr>
  </w:style>
  <w:style w:type="character" w:customStyle="1" w:styleId="301">
    <w:name w:val="批注引用1"/>
    <w:link w:val="1"/>
    <w:unhideWhenUsed/>
    <w:qFormat/>
    <w:uiPriority w:val="0"/>
    <w:rPr>
      <w:sz w:val="21"/>
      <w:szCs w:val="21"/>
    </w:rPr>
  </w:style>
  <w:style w:type="character" w:customStyle="1" w:styleId="302">
    <w:name w:val="脚注引用1"/>
    <w:link w:val="1"/>
    <w:qFormat/>
    <w:uiPriority w:val="0"/>
    <w:rPr>
      <w:rFonts w:ascii="宋体" w:hAnsi="宋体" w:eastAsia="宋体"/>
      <w:vertAlign w:val="superscript"/>
    </w:rPr>
  </w:style>
  <w:style w:type="character" w:customStyle="1" w:styleId="303">
    <w:name w:val="日期 Char1"/>
    <w:link w:val="1"/>
    <w:semiHidden/>
    <w:qFormat/>
    <w:uiPriority w:val="99"/>
    <w:rPr>
      <w:rFonts w:ascii="Times New Roman" w:hAnsi="Times New Roman" w:eastAsia="宋体" w:cs="Times New Roman"/>
      <w:szCs w:val="20"/>
    </w:rPr>
  </w:style>
  <w:style w:type="character" w:customStyle="1" w:styleId="304">
    <w:name w:val="正文文本缩进 Char1"/>
    <w:link w:val="1"/>
    <w:semiHidden/>
    <w:qFormat/>
    <w:uiPriority w:val="99"/>
    <w:rPr>
      <w:rFonts w:ascii="Times New Roman" w:hAnsi="Times New Roman" w:eastAsia="宋体" w:cs="Times New Roman"/>
      <w:szCs w:val="20"/>
    </w:rPr>
  </w:style>
  <w:style w:type="character" w:customStyle="1" w:styleId="305">
    <w:name w:val="正文文本缩进 2 Char1"/>
    <w:link w:val="1"/>
    <w:semiHidden/>
    <w:qFormat/>
    <w:uiPriority w:val="99"/>
    <w:rPr>
      <w:rFonts w:ascii="Times New Roman" w:hAnsi="Times New Roman" w:eastAsia="宋体" w:cs="Times New Roman"/>
      <w:szCs w:val="20"/>
    </w:rPr>
  </w:style>
  <w:style w:type="character" w:customStyle="1" w:styleId="306">
    <w:name w:val="正文文本缩进 3 Char1"/>
    <w:link w:val="1"/>
    <w:semiHidden/>
    <w:qFormat/>
    <w:uiPriority w:val="99"/>
    <w:rPr>
      <w:rFonts w:ascii="Times New Roman" w:hAnsi="Times New Roman" w:eastAsia="宋体" w:cs="Times New Roman"/>
      <w:sz w:val="16"/>
      <w:szCs w:val="16"/>
    </w:rPr>
  </w:style>
  <w:style w:type="paragraph" w:customStyle="1" w:styleId="307">
    <w:name w:val="普通文字"/>
    <w:basedOn w:val="1"/>
    <w:next w:val="1"/>
    <w:qFormat/>
    <w:uiPriority w:val="0"/>
    <w:rPr>
      <w:rFonts w:ascii="宋体"/>
      <w:sz w:val="24"/>
    </w:rPr>
  </w:style>
  <w:style w:type="character" w:customStyle="1" w:styleId="308">
    <w:name w:val="文档结构图 Char1"/>
    <w:link w:val="1"/>
    <w:semiHidden/>
    <w:qFormat/>
    <w:uiPriority w:val="99"/>
    <w:rPr>
      <w:rFonts w:ascii="宋体" w:hAnsi="Times New Roman" w:eastAsia="宋体" w:cs="Times New Roman"/>
      <w:sz w:val="18"/>
      <w:szCs w:val="18"/>
    </w:rPr>
  </w:style>
  <w:style w:type="character" w:customStyle="1" w:styleId="309">
    <w:name w:val="正文文本 2 Char1"/>
    <w:link w:val="1"/>
    <w:semiHidden/>
    <w:qFormat/>
    <w:uiPriority w:val="99"/>
    <w:rPr>
      <w:rFonts w:ascii="Times New Roman" w:hAnsi="Times New Roman" w:eastAsia="宋体" w:cs="Times New Roman"/>
      <w:szCs w:val="20"/>
    </w:rPr>
  </w:style>
  <w:style w:type="paragraph" w:customStyle="1" w:styleId="310">
    <w:name w:val="列出段落"/>
    <w:basedOn w:val="1"/>
    <w:link w:val="311"/>
    <w:qFormat/>
    <w:uiPriority w:val="34"/>
    <w:pPr>
      <w:ind w:firstLine="420"/>
    </w:pPr>
  </w:style>
  <w:style w:type="character" w:customStyle="1" w:styleId="311">
    <w:name w:val="列出段落 Char1"/>
    <w:link w:val="310"/>
    <w:qFormat/>
    <w:uiPriority w:val="34"/>
    <w:rPr>
      <w:rFonts w:ascii="Times New Roman" w:hAnsi="Times New Roman"/>
      <w:sz w:val="21"/>
    </w:rPr>
  </w:style>
  <w:style w:type="character" w:customStyle="1" w:styleId="312">
    <w:name w:val="批注框文本 Char1"/>
    <w:link w:val="1"/>
    <w:semiHidden/>
    <w:qFormat/>
    <w:uiPriority w:val="99"/>
    <w:rPr>
      <w:rFonts w:ascii="Times New Roman" w:hAnsi="Times New Roman" w:eastAsia="宋体" w:cs="Times New Roman"/>
      <w:sz w:val="18"/>
      <w:szCs w:val="18"/>
    </w:rPr>
  </w:style>
  <w:style w:type="paragraph" w:customStyle="1" w:styleId="313">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314">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315">
    <w:name w:val="列出段落1"/>
    <w:basedOn w:val="1"/>
    <w:qFormat/>
    <w:uiPriority w:val="0"/>
    <w:pPr>
      <w:ind w:firstLine="420"/>
    </w:pPr>
    <w:rPr>
      <w:rFonts w:ascii="Calibri" w:hAnsi="Calibri"/>
      <w:color w:val="000000"/>
      <w:spacing w:val="-8"/>
      <w:szCs w:val="22"/>
    </w:rPr>
  </w:style>
  <w:style w:type="paragraph" w:customStyle="1" w:styleId="316">
    <w:name w:val="样式 表格正文 + 两端对齐"/>
    <w:basedOn w:val="1"/>
    <w:next w:val="317"/>
    <w:qFormat/>
    <w:uiPriority w:val="99"/>
    <w:pPr>
      <w:spacing w:line="300" w:lineRule="auto"/>
    </w:pPr>
    <w:rPr>
      <w:rFonts w:ascii="Calibri" w:hAnsi="Calibri"/>
      <w:szCs w:val="24"/>
    </w:rPr>
  </w:style>
  <w:style w:type="paragraph" w:customStyle="1" w:styleId="317">
    <w:name w:val="正文1"/>
    <w:basedOn w:val="227"/>
    <w:next w:val="1"/>
    <w:qFormat/>
    <w:uiPriority w:val="0"/>
    <w:pPr>
      <w:spacing w:line="360" w:lineRule="auto"/>
      <w:ind w:right="1"/>
    </w:pPr>
    <w:rPr>
      <w:rFonts w:ascii="宋体" w:hAnsi="宋体"/>
      <w:color w:val="000000"/>
      <w:sz w:val="24"/>
      <w:shd w:val="clear" w:color="auto" w:fill="000080"/>
      <w:lang w:val="en-US" w:eastAsia="zh-CN"/>
    </w:rPr>
  </w:style>
  <w:style w:type="paragraph" w:customStyle="1" w:styleId="318">
    <w:name w:val="样式 首行缩进:  0 字符"/>
    <w:basedOn w:val="1"/>
    <w:qFormat/>
    <w:uiPriority w:val="0"/>
    <w:pPr>
      <w:spacing w:line="360" w:lineRule="auto"/>
    </w:pPr>
    <w:rPr>
      <w:rFonts w:ascii="Arial" w:hAnsi="Arial" w:cs="宋体"/>
      <w:sz w:val="24"/>
      <w:szCs w:val="24"/>
    </w:rPr>
  </w:style>
  <w:style w:type="character" w:customStyle="1" w:styleId="319">
    <w:name w:val="bookmark-item"/>
    <w:link w:val="1"/>
    <w:qFormat/>
    <w:uiPriority w:val="0"/>
  </w:style>
  <w:style w:type="character" w:customStyle="1" w:styleId="320">
    <w:name w:val="font61"/>
    <w:link w:val="1"/>
    <w:qFormat/>
    <w:uiPriority w:val="0"/>
    <w:rPr>
      <w:rFonts w:ascii="微软雅黑" w:hAnsi="微软雅黑" w:eastAsia="微软雅黑" w:cs="微软雅黑"/>
      <w:color w:val="000000"/>
      <w:sz w:val="22"/>
      <w:szCs w:val="22"/>
      <w:u w:val="none"/>
    </w:rPr>
  </w:style>
  <w:style w:type="paragraph" w:customStyle="1" w:styleId="321">
    <w:name w:val="02-标书-标题2"/>
    <w:qFormat/>
    <w:uiPriority w:val="0"/>
    <w:pPr>
      <w:numPr>
        <w:ilvl w:val="1"/>
        <w:numId w:val="3"/>
      </w:numPr>
      <w:tabs>
        <w:tab w:val="left" w:pos="552"/>
      </w:tabs>
      <w:spacing w:line="360" w:lineRule="auto"/>
      <w:outlineLvl w:val="1"/>
    </w:pPr>
    <w:rPr>
      <w:rFonts w:hint="default" w:ascii="黑体" w:hAnsi="宋体" w:eastAsia="黑体" w:cs="Calibri"/>
      <w:sz w:val="32"/>
      <w:szCs w:val="28"/>
      <w:lang w:val="en-US" w:eastAsia="zh-CN" w:bidi="ar-SA"/>
    </w:rPr>
  </w:style>
  <w:style w:type="character" w:customStyle="1" w:styleId="322">
    <w:name w:val="font41"/>
    <w:link w:val="1"/>
    <w:qFormat/>
    <w:uiPriority w:val="0"/>
    <w:rPr>
      <w:rFonts w:ascii="微软雅黑" w:hAnsi="微软雅黑" w:eastAsia="微软雅黑" w:cs="微软雅黑"/>
      <w:b/>
      <w:color w:val="FF0000"/>
      <w:sz w:val="22"/>
      <w:szCs w:val="22"/>
      <w:u w:val="none"/>
    </w:rPr>
  </w:style>
  <w:style w:type="character" w:customStyle="1" w:styleId="323">
    <w:name w:val="font71"/>
    <w:link w:val="1"/>
    <w:qFormat/>
    <w:uiPriority w:val="0"/>
    <w:rPr>
      <w:rFonts w:ascii="Calibri" w:hAnsi="Calibri" w:cs="Calibri"/>
      <w:color w:val="000000"/>
      <w:sz w:val="20"/>
      <w:szCs w:val="20"/>
      <w:u w:val="none"/>
    </w:rPr>
  </w:style>
  <w:style w:type="character" w:customStyle="1" w:styleId="324">
    <w:name w:val="font01"/>
    <w:link w:val="1"/>
    <w:qFormat/>
    <w:uiPriority w:val="0"/>
    <w:rPr>
      <w:rFonts w:ascii="Tahoma" w:hAnsi="Tahoma" w:eastAsia="Tahoma" w:cs="Tahoma"/>
      <w:color w:val="333333"/>
      <w:sz w:val="20"/>
      <w:szCs w:val="20"/>
      <w:u w:val="none"/>
    </w:rPr>
  </w:style>
  <w:style w:type="character" w:customStyle="1" w:styleId="325">
    <w:name w:val="font11"/>
    <w:link w:val="1"/>
    <w:qFormat/>
    <w:uiPriority w:val="0"/>
    <w:rPr>
      <w:rFonts w:hint="eastAsia" w:ascii="宋体" w:hAnsi="宋体" w:eastAsia="宋体" w:cs="宋体"/>
      <w:color w:val="333333"/>
      <w:sz w:val="20"/>
      <w:szCs w:val="20"/>
      <w:u w:val="none"/>
    </w:rPr>
  </w:style>
  <w:style w:type="character" w:customStyle="1" w:styleId="326">
    <w:name w:val="font21"/>
    <w:link w:val="1"/>
    <w:qFormat/>
    <w:uiPriority w:val="0"/>
    <w:rPr>
      <w:rFonts w:hint="eastAsia" w:ascii="宋体" w:hAnsi="宋体" w:eastAsia="宋体" w:cs="宋体"/>
      <w:color w:val="333333"/>
      <w:sz w:val="20"/>
      <w:szCs w:val="20"/>
      <w:u w:val="none"/>
    </w:rPr>
  </w:style>
  <w:style w:type="paragraph" w:customStyle="1" w:styleId="327">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character" w:customStyle="1" w:styleId="328">
    <w:name w:val="无"/>
    <w:link w:val="1"/>
    <w:qFormat/>
    <w:uiPriority w:val="0"/>
  </w:style>
  <w:style w:type="paragraph" w:customStyle="1" w:styleId="329">
    <w:name w:val="paragraph"/>
    <w:basedOn w:val="1"/>
    <w:qFormat/>
    <w:uiPriority w:val="0"/>
    <w:pPr>
      <w:widowControl/>
      <w:spacing w:before="100" w:beforeAutospacing="1" w:after="100" w:afterAutospacing="1"/>
      <w:jc w:val="left"/>
    </w:pPr>
    <w:rPr>
      <w:rFonts w:ascii="宋体" w:hAnsi="宋体" w:cs="宋体"/>
      <w:sz w:val="24"/>
      <w:szCs w:val="24"/>
    </w:rPr>
  </w:style>
  <w:style w:type="paragraph" w:customStyle="1" w:styleId="330">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paragraph" w:customStyle="1" w:styleId="331">
    <w:name w:val="纯文本111"/>
    <w:basedOn w:val="1"/>
    <w:qFormat/>
    <w:uiPriority w:val="0"/>
    <w:pPr>
      <w:spacing w:line="360" w:lineRule="auto"/>
    </w:pPr>
    <w:rPr>
      <w:rFonts w:ascii="宋体" w:hAnsi="Courier New"/>
      <w:sz w:val="26"/>
      <w:szCs w:val="24"/>
    </w:rPr>
  </w:style>
  <w:style w:type="character" w:customStyle="1" w:styleId="332">
    <w:name w:val="列出段落 Char"/>
    <w:link w:val="1"/>
    <w:qFormat/>
    <w:uiPriority w:val="34"/>
    <w:rPr>
      <w:rFonts w:ascii="Calibri" w:hAnsi="Calibri"/>
      <w:sz w:val="21"/>
      <w:szCs w:val="22"/>
    </w:rPr>
  </w:style>
  <w:style w:type="paragraph" w:customStyle="1" w:styleId="333">
    <w:name w:val="纯文本1"/>
    <w:basedOn w:val="1"/>
    <w:qFormat/>
    <w:uiPriority w:val="0"/>
    <w:rPr>
      <w:rFonts w:ascii="宋体" w:hAnsi="Courier New" w:eastAsia="方正仿宋_GB2312"/>
      <w:sz w:val="26"/>
    </w:rPr>
  </w:style>
  <w:style w:type="paragraph" w:customStyle="1" w:styleId="334">
    <w:name w:val="正文文本首行缩进 2"/>
    <w:basedOn w:val="206"/>
    <w:qFormat/>
    <w:uiPriority w:val="99"/>
    <w:pPr>
      <w:widowControl/>
      <w:spacing w:line="200" w:lineRule="atLeast"/>
      <w:ind w:left="156" w:firstLine="420"/>
    </w:pPr>
    <w:rPr>
      <w:rFonts w:ascii="宋体" w:hAnsi="Courier New" w:eastAsia="仿宋_GB2312"/>
      <w:b w:val="0"/>
      <w:spacing w:val="-4"/>
      <w:sz w:val="18"/>
    </w:rPr>
  </w:style>
  <w:style w:type="character" w:customStyle="1" w:styleId="335">
    <w:name w:val="Char Char15"/>
    <w:link w:val="1"/>
    <w:qFormat/>
    <w:uiPriority w:val="0"/>
    <w:rPr>
      <w:rFonts w:ascii="仿宋_GB2312" w:hAnsi="Times New Roman" w:eastAsia="宋体" w:cs="Times New Roman"/>
      <w:sz w:val="24"/>
      <w:szCs w:val="24"/>
      <w:shd w:val="clear" w:color="auto" w:fill="000080"/>
    </w:rPr>
  </w:style>
  <w:style w:type="character" w:customStyle="1" w:styleId="336">
    <w:name w:val="apple-converted-space"/>
    <w:link w:val="1"/>
    <w:qFormat/>
    <w:uiPriority w:val="0"/>
  </w:style>
  <w:style w:type="character" w:customStyle="1" w:styleId="337">
    <w:name w:val="font"/>
    <w:link w:val="1"/>
    <w:qFormat/>
    <w:uiPriority w:val="0"/>
  </w:style>
  <w:style w:type="character" w:customStyle="1" w:styleId="338">
    <w:name w:val="Char Char9"/>
    <w:link w:val="1"/>
    <w:qFormat/>
    <w:uiPriority w:val="0"/>
    <w:rPr>
      <w:rFonts w:ascii="Cambria" w:hAnsi="Cambria" w:eastAsia="宋体" w:cs="Times New Roman"/>
      <w:b/>
      <w:bCs/>
      <w:sz w:val="32"/>
      <w:szCs w:val="32"/>
    </w:rPr>
  </w:style>
  <w:style w:type="character" w:customStyle="1" w:styleId="339">
    <w:name w:val="Char Char7"/>
    <w:link w:val="1"/>
    <w:qFormat/>
    <w:uiPriority w:val="0"/>
    <w:rPr>
      <w:rFonts w:ascii="Times New Roman" w:hAnsi="Times New Roman" w:eastAsia="宋体" w:cs="Times New Roman"/>
      <w:b/>
      <w:bCs/>
      <w:szCs w:val="21"/>
    </w:rPr>
  </w:style>
  <w:style w:type="character" w:customStyle="1" w:styleId="340">
    <w:name w:val="itm1"/>
    <w:link w:val="1"/>
    <w:qFormat/>
    <w:uiPriority w:val="0"/>
    <w:rPr>
      <w:rFonts w:hint="eastAsia" w:ascii="宋体" w:hAnsi="宋体" w:eastAsia="宋体"/>
      <w:sz w:val="21"/>
      <w:szCs w:val="21"/>
    </w:rPr>
  </w:style>
  <w:style w:type="character" w:customStyle="1" w:styleId="341">
    <w:name w:val="Char Char4"/>
    <w:link w:val="1"/>
    <w:qFormat/>
    <w:uiPriority w:val="0"/>
    <w:rPr>
      <w:sz w:val="18"/>
      <w:szCs w:val="18"/>
    </w:rPr>
  </w:style>
  <w:style w:type="character" w:customStyle="1" w:styleId="342">
    <w:name w:val="b"/>
    <w:link w:val="1"/>
    <w:qFormat/>
    <w:uiPriority w:val="0"/>
  </w:style>
  <w:style w:type="character" w:customStyle="1" w:styleId="343">
    <w:name w:val="apple-style-span"/>
    <w:link w:val="1"/>
    <w:qFormat/>
    <w:uiPriority w:val="0"/>
  </w:style>
  <w:style w:type="character" w:customStyle="1" w:styleId="344">
    <w:name w:val="Char Char13"/>
    <w:link w:val="1"/>
    <w:qFormat/>
    <w:uiPriority w:val="0"/>
    <w:rPr>
      <w:rFonts w:ascii="仿宋_GB2312" w:hAnsi="Times New Roman" w:eastAsia="宋体" w:cs="Times New Roman"/>
      <w:sz w:val="18"/>
      <w:szCs w:val="18"/>
    </w:rPr>
  </w:style>
  <w:style w:type="character" w:customStyle="1" w:styleId="345">
    <w:name w:val="表格 Char"/>
    <w:link w:val="346"/>
    <w:qFormat/>
    <w:uiPriority w:val="0"/>
    <w:rPr>
      <w:sz w:val="21"/>
      <w:szCs w:val="21"/>
    </w:rPr>
  </w:style>
  <w:style w:type="paragraph" w:customStyle="1" w:styleId="346">
    <w:name w:val="表格"/>
    <w:basedOn w:val="1"/>
    <w:link w:val="345"/>
    <w:qFormat/>
    <w:uiPriority w:val="0"/>
    <w:pPr>
      <w:jc w:val="center"/>
    </w:pPr>
    <w:rPr>
      <w:szCs w:val="21"/>
    </w:rPr>
  </w:style>
  <w:style w:type="character" w:customStyle="1" w:styleId="347">
    <w:name w:val="标题 311"/>
    <w:link w:val="1"/>
    <w:qFormat/>
    <w:uiPriority w:val="0"/>
    <w:rPr>
      <w:rFonts w:hint="eastAsia" w:ascii="黑体" w:hAnsi="黑体" w:eastAsia="黑体"/>
      <w:sz w:val="28"/>
    </w:rPr>
  </w:style>
  <w:style w:type="character" w:customStyle="1" w:styleId="348">
    <w:name w:val="Char Char Char Char Char Char Char Char Char Char Char Char Char"/>
    <w:link w:val="1"/>
    <w:qFormat/>
    <w:uiPriority w:val="0"/>
    <w:rPr>
      <w:rFonts w:eastAsia="宋体"/>
      <w:b/>
      <w:bCs/>
      <w:sz w:val="32"/>
      <w:szCs w:val="44"/>
      <w:lang w:val="en-US" w:eastAsia="zh-CN" w:bidi="ar-SA"/>
    </w:rPr>
  </w:style>
  <w:style w:type="character" w:customStyle="1" w:styleId="349">
    <w:name w:val="表格正文 Char Char"/>
    <w:link w:val="350"/>
    <w:qFormat/>
    <w:uiPriority w:val="0"/>
    <w:rPr>
      <w:sz w:val="21"/>
      <w:szCs w:val="24"/>
    </w:rPr>
  </w:style>
  <w:style w:type="paragraph" w:customStyle="1" w:styleId="350">
    <w:name w:val="表格正文"/>
    <w:basedOn w:val="1"/>
    <w:link w:val="349"/>
    <w:qFormat/>
    <w:uiPriority w:val="0"/>
    <w:rPr>
      <w:szCs w:val="24"/>
    </w:rPr>
  </w:style>
  <w:style w:type="character" w:customStyle="1" w:styleId="351">
    <w:name w:val="Char Char8"/>
    <w:link w:val="1"/>
    <w:qFormat/>
    <w:uiPriority w:val="0"/>
    <w:rPr>
      <w:rFonts w:ascii="Times New Roman" w:hAnsi="Times New Roman"/>
      <w:b/>
      <w:bCs/>
      <w:sz w:val="44"/>
      <w:szCs w:val="44"/>
    </w:rPr>
  </w:style>
  <w:style w:type="character" w:customStyle="1" w:styleId="352">
    <w:name w:val="unnamed21"/>
    <w:link w:val="1"/>
    <w:qFormat/>
    <w:uiPriority w:val="0"/>
    <w:rPr>
      <w:b/>
      <w:bCs/>
      <w:color w:val="FF6600"/>
      <w:sz w:val="21"/>
      <w:szCs w:val="21"/>
      <w:u w:val="none"/>
    </w:rPr>
  </w:style>
  <w:style w:type="character" w:customStyle="1" w:styleId="353">
    <w:name w:val="tw4winTerm"/>
    <w:link w:val="1"/>
    <w:qFormat/>
    <w:uiPriority w:val="0"/>
    <w:rPr>
      <w:color w:val="0000FF"/>
    </w:rPr>
  </w:style>
  <w:style w:type="character" w:customStyle="1" w:styleId="354">
    <w:name w:val="正文 + 宋体 Char"/>
    <w:link w:val="355"/>
    <w:qFormat/>
    <w:uiPriority w:val="0"/>
    <w:rPr>
      <w:rFonts w:ascii="新宋体" w:hAnsi="宋体" w:eastAsia="黑体"/>
      <w:b/>
      <w:bCs/>
      <w:sz w:val="28"/>
      <w:szCs w:val="28"/>
    </w:rPr>
  </w:style>
  <w:style w:type="paragraph" w:customStyle="1" w:styleId="355">
    <w:name w:val="正文 + 宋体"/>
    <w:basedOn w:val="194"/>
    <w:link w:val="354"/>
    <w:qFormat/>
    <w:uiPriority w:val="0"/>
    <w:pPr>
      <w:keepLines/>
      <w:widowControl/>
      <w:tabs>
        <w:tab w:val="left" w:pos="1800"/>
      </w:tabs>
      <w:spacing w:before="120" w:after="120"/>
      <w:ind w:left="-51"/>
    </w:pPr>
    <w:rPr>
      <w:rFonts w:ascii="新宋体" w:hAnsi="宋体" w:eastAsia="黑体"/>
      <w:bCs/>
      <w:szCs w:val="28"/>
    </w:rPr>
  </w:style>
  <w:style w:type="character" w:customStyle="1" w:styleId="356">
    <w:name w:val="text_list1"/>
    <w:link w:val="1"/>
    <w:qFormat/>
    <w:uiPriority w:val="0"/>
    <w:rPr>
      <w:rFonts w:ascii="Arial" w:hAnsi="Arial" w:cs="Arial"/>
      <w:color w:val="000000"/>
      <w:spacing w:val="272"/>
      <w:sz w:val="16"/>
      <w:szCs w:val="16"/>
    </w:rPr>
  </w:style>
  <w:style w:type="character" w:customStyle="1" w:styleId="357">
    <w:name w:val="样式 三号 下划线"/>
    <w:link w:val="1"/>
    <w:qFormat/>
    <w:uiPriority w:val="0"/>
    <w:rPr>
      <w:sz w:val="28"/>
      <w:u w:val="single"/>
    </w:rPr>
  </w:style>
  <w:style w:type="character" w:customStyle="1" w:styleId="358">
    <w:name w:val="普通(网站) 字符"/>
    <w:link w:val="1"/>
    <w:qFormat/>
    <w:uiPriority w:val="0"/>
    <w:rPr>
      <w:rFonts w:ascii="宋体" w:hAnsi="宋体" w:cs="宋体"/>
      <w:sz w:val="24"/>
      <w:szCs w:val="24"/>
    </w:rPr>
  </w:style>
  <w:style w:type="character" w:customStyle="1" w:styleId="359">
    <w:name w:val="Char Char14"/>
    <w:link w:val="1"/>
    <w:qFormat/>
    <w:uiPriority w:val="0"/>
    <w:rPr>
      <w:rFonts w:ascii="方正仿宋_GB2312" w:hAnsi="Arial" w:eastAsia="方正仿宋_GB2312" w:cs="Times New Roman"/>
      <w:sz w:val="28"/>
      <w:szCs w:val="24"/>
    </w:rPr>
  </w:style>
  <w:style w:type="character" w:customStyle="1" w:styleId="360">
    <w:name w:val="普通正文 Char Char"/>
    <w:link w:val="361"/>
    <w:qFormat/>
    <w:uiPriority w:val="0"/>
    <w:rPr>
      <w:rFonts w:ascii="Arial" w:hAnsi="Arial"/>
      <w:sz w:val="24"/>
      <w:szCs w:val="24"/>
    </w:rPr>
  </w:style>
  <w:style w:type="paragraph" w:customStyle="1" w:styleId="361">
    <w:name w:val="普通正文"/>
    <w:basedOn w:val="1"/>
    <w:link w:val="360"/>
    <w:qFormat/>
    <w:uiPriority w:val="0"/>
    <w:pPr>
      <w:spacing w:before="120" w:after="120" w:line="500" w:lineRule="exact"/>
      <w:ind w:firstLine="480"/>
    </w:pPr>
    <w:rPr>
      <w:rFonts w:ascii="Arial" w:hAnsi="Arial"/>
      <w:sz w:val="24"/>
      <w:szCs w:val="24"/>
    </w:rPr>
  </w:style>
  <w:style w:type="character" w:customStyle="1" w:styleId="362">
    <w:name w:val="正文文本 Char Char"/>
    <w:link w:val="1"/>
    <w:qFormat/>
    <w:uiPriority w:val="0"/>
    <w:rPr>
      <w:rFonts w:ascii="方正仿宋_GB2312" w:hAnsi="Arial" w:eastAsia="方正仿宋_GB2312" w:cs="Times New Roman"/>
      <w:sz w:val="28"/>
      <w:szCs w:val="28"/>
    </w:rPr>
  </w:style>
  <w:style w:type="character" w:customStyle="1" w:styleId="363">
    <w:name w:val="+正文 Char3"/>
    <w:link w:val="364"/>
    <w:qFormat/>
    <w:uiPriority w:val="0"/>
    <w:rPr>
      <w:sz w:val="24"/>
      <w:szCs w:val="28"/>
    </w:rPr>
  </w:style>
  <w:style w:type="paragraph" w:customStyle="1" w:styleId="364">
    <w:name w:val="+正文"/>
    <w:basedOn w:val="1"/>
    <w:link w:val="363"/>
    <w:qFormat/>
    <w:uiPriority w:val="0"/>
    <w:pPr>
      <w:spacing w:line="360" w:lineRule="auto"/>
      <w:ind w:firstLine="200"/>
    </w:pPr>
    <w:rPr>
      <w:sz w:val="24"/>
      <w:szCs w:val="28"/>
    </w:rPr>
  </w:style>
  <w:style w:type="character" w:customStyle="1" w:styleId="365">
    <w:name w:val="style331"/>
    <w:link w:val="1"/>
    <w:qFormat/>
    <w:uiPriority w:val="0"/>
    <w:rPr>
      <w:color w:val="9900FF"/>
      <w:sz w:val="18"/>
      <w:szCs w:val="18"/>
    </w:rPr>
  </w:style>
  <w:style w:type="character" w:customStyle="1" w:styleId="366">
    <w:name w:val="一般文字 字元 Char"/>
    <w:link w:val="1"/>
    <w:qFormat/>
    <w:uiPriority w:val="0"/>
    <w:rPr>
      <w:rFonts w:ascii="宋体" w:hAnsi="Courier New" w:eastAsia="宋体"/>
      <w:sz w:val="21"/>
      <w:lang w:val="en-US" w:eastAsia="zh-CN" w:bidi="ar-SA"/>
    </w:rPr>
  </w:style>
  <w:style w:type="character" w:customStyle="1" w:styleId="367">
    <w:name w:val="正文缩进 Char1"/>
    <w:link w:val="1"/>
    <w:qFormat/>
    <w:uiPriority w:val="0"/>
    <w:rPr>
      <w:rFonts w:eastAsia="方正仿宋_GB2312"/>
      <w:sz w:val="24"/>
      <w:lang w:val="en-US" w:eastAsia="zh-CN" w:bidi="ar-SA"/>
    </w:rPr>
  </w:style>
  <w:style w:type="character" w:customStyle="1" w:styleId="368">
    <w:name w:val="纯文本 Char1"/>
    <w:link w:val="1"/>
    <w:semiHidden/>
    <w:qFormat/>
    <w:uiPriority w:val="0"/>
    <w:rPr>
      <w:rFonts w:ascii="宋体" w:hAnsi="Courier New" w:eastAsia="宋体"/>
    </w:rPr>
  </w:style>
  <w:style w:type="paragraph" w:customStyle="1" w:styleId="369">
    <w:name w:val="图形"/>
    <w:basedOn w:val="1"/>
    <w:qFormat/>
    <w:uiPriority w:val="0"/>
    <w:pPr>
      <w:spacing w:after="20" w:line="288" w:lineRule="auto"/>
      <w:ind w:firstLine="420"/>
      <w:jc w:val="center"/>
    </w:pPr>
    <w:rPr>
      <w:szCs w:val="24"/>
    </w:rPr>
  </w:style>
  <w:style w:type="paragraph" w:customStyle="1" w:styleId="370">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71">
    <w:name w:val="回信地址"/>
    <w:basedOn w:val="1"/>
    <w:qFormat/>
    <w:uiPriority w:val="0"/>
    <w:pPr>
      <w:keepLines/>
      <w:widowControl/>
      <w:spacing w:after="20" w:line="200" w:lineRule="atLeast"/>
      <w:ind w:right="-120" w:firstLine="420"/>
      <w:jc w:val="left"/>
    </w:pPr>
    <w:rPr>
      <w:sz w:val="16"/>
    </w:rPr>
  </w:style>
  <w:style w:type="paragraph" w:customStyle="1" w:styleId="372">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szCs w:val="24"/>
    </w:rPr>
  </w:style>
  <w:style w:type="paragraph" w:customStyle="1" w:styleId="373">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rPr>
  </w:style>
  <w:style w:type="paragraph" w:customStyle="1" w:styleId="374">
    <w:name w:val="表中"/>
    <w:basedOn w:val="1"/>
    <w:qFormat/>
    <w:uiPriority w:val="0"/>
    <w:pPr>
      <w:spacing w:line="360" w:lineRule="atLeast"/>
      <w:jc w:val="center"/>
    </w:pPr>
  </w:style>
  <w:style w:type="paragraph" w:customStyle="1" w:styleId="375">
    <w:name w:val="Char"/>
    <w:basedOn w:val="1"/>
    <w:qFormat/>
    <w:uiPriority w:val="0"/>
    <w:rPr>
      <w:rFonts w:ascii="仿宋_GB2312" w:eastAsia="仿宋_GB2312"/>
      <w:b/>
      <w:sz w:val="32"/>
      <w:szCs w:val="32"/>
    </w:rPr>
  </w:style>
  <w:style w:type="paragraph" w:customStyle="1" w:styleId="376">
    <w:name w:val="font6"/>
    <w:basedOn w:val="1"/>
    <w:qFormat/>
    <w:uiPriority w:val="0"/>
    <w:pPr>
      <w:widowControl/>
      <w:spacing w:before="100" w:beforeAutospacing="1" w:after="100" w:afterAutospacing="1" w:line="288" w:lineRule="auto"/>
      <w:ind w:firstLine="420"/>
      <w:jc w:val="left"/>
    </w:pPr>
    <w:rPr>
      <w:sz w:val="24"/>
      <w:szCs w:val="24"/>
    </w:rPr>
  </w:style>
  <w:style w:type="paragraph" w:customStyle="1" w:styleId="377">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78">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79">
    <w:name w:val="ÕýÎÄ"/>
    <w:qFormat/>
    <w:uiPriority w:val="0"/>
    <w:pPr>
      <w:widowControl w:val="0"/>
      <w:spacing w:line="351" w:lineRule="atLeast"/>
      <w:ind w:firstLine="419"/>
      <w:jc w:val="both"/>
    </w:pPr>
    <w:rPr>
      <w:rFonts w:hint="default" w:ascii="Times New Roman" w:hAnsi="Times New Roman" w:eastAsia="宋体" w:cs="Times New Roman"/>
      <w:color w:val="000000"/>
      <w:sz w:val="21"/>
      <w:lang w:val="en-US" w:eastAsia="zh-CN" w:bidi="ar-SA"/>
    </w:rPr>
  </w:style>
  <w:style w:type="paragraph" w:customStyle="1" w:styleId="380">
    <w:name w:val="样式 纯文本 + 楷体_GB2312 小四 行距: 固定值 20 磅1"/>
    <w:basedOn w:val="246"/>
    <w:qFormat/>
    <w:uiPriority w:val="0"/>
    <w:pPr>
      <w:spacing w:line="400" w:lineRule="exact"/>
      <w:ind w:firstLine="200"/>
    </w:pPr>
    <w:rPr>
      <w:rFonts w:ascii="方正仿宋_GB2312" w:eastAsia="方正仿宋_GB2312"/>
      <w:sz w:val="24"/>
      <w:szCs w:val="20"/>
    </w:rPr>
  </w:style>
  <w:style w:type="paragraph" w:customStyle="1" w:styleId="381">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rPr>
  </w:style>
  <w:style w:type="paragraph" w:customStyle="1" w:styleId="382">
    <w:name w:val="yyn"/>
    <w:basedOn w:val="1"/>
    <w:qFormat/>
    <w:uiPriority w:val="0"/>
    <w:pPr>
      <w:keepNext/>
      <w:widowControl/>
      <w:spacing w:line="360" w:lineRule="auto"/>
      <w:ind w:right="562" w:firstLine="576"/>
    </w:pPr>
    <w:rPr>
      <w:rFonts w:ascii="宋体"/>
      <w:sz w:val="28"/>
    </w:rPr>
  </w:style>
  <w:style w:type="paragraph" w:customStyle="1" w:styleId="383">
    <w:name w:val="标题2"/>
    <w:basedOn w:val="195"/>
    <w:next w:val="1"/>
    <w:qFormat/>
    <w:uiPriority w:val="0"/>
    <w:pPr>
      <w:keepLines/>
      <w:tabs>
        <w:tab w:val="left" w:pos="567"/>
      </w:tabs>
      <w:spacing w:before="120" w:after="120" w:line="360" w:lineRule="auto"/>
      <w:ind w:left="567" w:firstLine="448"/>
      <w:jc w:val="left"/>
    </w:pPr>
    <w:rPr>
      <w:rFonts w:ascii="Arial" w:hAnsi="Arial" w:eastAsia="黑体"/>
      <w:b w:val="0"/>
      <w:bCs w:val="0"/>
      <w:color w:val="000000"/>
      <w:spacing w:val="-8"/>
      <w:sz w:val="24"/>
    </w:rPr>
  </w:style>
  <w:style w:type="paragraph" w:customStyle="1" w:styleId="384">
    <w:name w:val="样式3"/>
    <w:basedOn w:val="246"/>
    <w:qFormat/>
    <w:uiPriority w:val="0"/>
    <w:pPr>
      <w:ind w:firstLine="448"/>
    </w:pPr>
    <w:rPr>
      <w:rFonts w:cs="Courier New"/>
      <w:color w:val="000000"/>
      <w:spacing w:val="-8"/>
    </w:rPr>
  </w:style>
  <w:style w:type="paragraph" w:customStyle="1" w:styleId="385">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86">
    <w:name w:val="附录1层"/>
    <w:basedOn w:val="1"/>
    <w:next w:val="1"/>
    <w:qFormat/>
    <w:uiPriority w:val="0"/>
    <w:pPr>
      <w:spacing w:line="440" w:lineRule="exact"/>
      <w:ind w:firstLine="448"/>
      <w:jc w:val="center"/>
    </w:pPr>
    <w:rPr>
      <w:rFonts w:ascii="黑体" w:hAnsi="宋体" w:eastAsia="黑体"/>
      <w:color w:val="000000"/>
      <w:spacing w:val="-8"/>
      <w:sz w:val="24"/>
    </w:rPr>
  </w:style>
  <w:style w:type="paragraph" w:customStyle="1" w:styleId="387">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rPr>
  </w:style>
  <w:style w:type="paragraph" w:customStyle="1" w:styleId="388">
    <w:name w:val="标题0"/>
    <w:basedOn w:val="289"/>
    <w:next w:val="289"/>
    <w:qFormat/>
    <w:uiPriority w:val="0"/>
    <w:rPr>
      <w:sz w:val="52"/>
    </w:rPr>
  </w:style>
  <w:style w:type="paragraph" w:customStyle="1" w:styleId="389">
    <w:name w:val="Table Paragraph"/>
    <w:basedOn w:val="1"/>
    <w:qFormat/>
    <w:uiPriority w:val="1"/>
    <w:rPr>
      <w:rFonts w:ascii="宋体" w:hAnsi="宋体" w:cs="宋体"/>
      <w:szCs w:val="24"/>
      <w:lang w:val="zh-CN" w:bidi="zh-CN"/>
    </w:rPr>
  </w:style>
  <w:style w:type="paragraph" w:customStyle="1" w:styleId="390">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91">
    <w:name w:val="table_lines"/>
    <w:basedOn w:val="1"/>
    <w:qFormat/>
    <w:uiPriority w:val="0"/>
    <w:pPr>
      <w:widowControl/>
      <w:jc w:val="left"/>
    </w:pPr>
    <w:rPr>
      <w:sz w:val="20"/>
      <w:lang w:val="de-DE" w:eastAsia="de-DE"/>
    </w:rPr>
  </w:style>
  <w:style w:type="paragraph" w:customStyle="1" w:styleId="392">
    <w:name w:val="font7"/>
    <w:basedOn w:val="1"/>
    <w:qFormat/>
    <w:uiPriority w:val="0"/>
    <w:pPr>
      <w:widowControl/>
      <w:spacing w:before="100" w:beforeAutospacing="1" w:after="100" w:afterAutospacing="1" w:line="288" w:lineRule="auto"/>
      <w:ind w:firstLine="420"/>
      <w:jc w:val="left"/>
    </w:pPr>
    <w:rPr>
      <w:b/>
      <w:bCs/>
      <w:sz w:val="24"/>
      <w:szCs w:val="24"/>
    </w:rPr>
  </w:style>
  <w:style w:type="paragraph" w:customStyle="1" w:styleId="39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rPr>
  </w:style>
  <w:style w:type="paragraph" w:customStyle="1" w:styleId="394">
    <w:name w:val="正文(缩进)"/>
    <w:basedOn w:val="1"/>
    <w:qFormat/>
    <w:uiPriority w:val="0"/>
    <w:pPr>
      <w:widowControl/>
      <w:spacing w:line="360" w:lineRule="auto"/>
      <w:ind w:firstLine="200"/>
    </w:pPr>
    <w:rPr>
      <w:rFonts w:eastAsia="仿宋_GB2312"/>
      <w:sz w:val="24"/>
    </w:rPr>
  </w:style>
  <w:style w:type="paragraph" w:customStyle="1" w:styleId="395">
    <w:name w:val="样式1"/>
    <w:basedOn w:val="197"/>
    <w:qFormat/>
    <w:uiPriority w:val="0"/>
    <w:pPr>
      <w:keepLines/>
      <w:tabs>
        <w:tab w:val="left" w:pos="1080"/>
      </w:tabs>
      <w:spacing w:before="280" w:after="290" w:line="376" w:lineRule="auto"/>
      <w:ind w:left="992" w:firstLine="448"/>
      <w:jc w:val="both"/>
    </w:pPr>
    <w:rPr>
      <w:rFonts w:ascii="Arial" w:hAnsi="Arial" w:eastAsia="黑体"/>
      <w:color w:val="000000"/>
      <w:spacing w:val="-8"/>
      <w:sz w:val="28"/>
      <w:szCs w:val="28"/>
    </w:rPr>
  </w:style>
  <w:style w:type="paragraph" w:customStyle="1" w:styleId="396">
    <w:name w:val="并列项-点"/>
    <w:basedOn w:val="1"/>
    <w:qFormat/>
    <w:uiPriority w:val="0"/>
    <w:pPr>
      <w:widowControl/>
      <w:tabs>
        <w:tab w:val="left" w:pos="851"/>
        <w:tab w:val="left" w:pos="927"/>
      </w:tabs>
      <w:spacing w:before="120" w:line="360" w:lineRule="auto"/>
      <w:ind w:left="851" w:hanging="284"/>
    </w:pPr>
    <w:rPr>
      <w:sz w:val="24"/>
    </w:rPr>
  </w:style>
  <w:style w:type="paragraph" w:customStyle="1" w:styleId="397">
    <w:name w:val="表蕊"/>
    <w:basedOn w:val="1"/>
    <w:qFormat/>
    <w:uiPriority w:val="0"/>
    <w:pPr>
      <w:spacing w:line="320" w:lineRule="atLeast"/>
      <w:jc w:val="left"/>
    </w:pPr>
    <w:rPr>
      <w:rFonts w:eastAsia="方正仿宋_GB2312"/>
      <w:spacing w:val="-10"/>
    </w:rPr>
  </w:style>
  <w:style w:type="paragraph" w:customStyle="1" w:styleId="398">
    <w:name w:val="正文缩进1"/>
    <w:basedOn w:val="1"/>
    <w:qFormat/>
    <w:uiPriority w:val="99"/>
    <w:pPr>
      <w:widowControl/>
      <w:spacing w:line="360" w:lineRule="auto"/>
      <w:ind w:firstLine="200"/>
      <w:jc w:val="left"/>
    </w:pPr>
    <w:rPr>
      <w:rFonts w:eastAsia="华文细黑"/>
      <w:sz w:val="24"/>
      <w:szCs w:val="21"/>
    </w:rPr>
  </w:style>
  <w:style w:type="paragraph" w:customStyle="1" w:styleId="399">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00">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rPr>
  </w:style>
  <w:style w:type="paragraph" w:customStyle="1" w:styleId="401">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rPr>
  </w:style>
  <w:style w:type="paragraph" w:customStyle="1" w:styleId="402">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403">
    <w:name w:val="名词解释11"/>
    <w:basedOn w:val="404"/>
    <w:qFormat/>
    <w:uiPriority w:val="0"/>
    <w:pPr>
      <w:spacing w:after="0"/>
      <w:ind w:firstLine="0"/>
    </w:pPr>
  </w:style>
  <w:style w:type="paragraph" w:customStyle="1" w:styleId="404">
    <w:name w:val="名词解释"/>
    <w:basedOn w:val="1"/>
    <w:qFormat/>
    <w:uiPriority w:val="0"/>
    <w:pPr>
      <w:spacing w:after="20" w:line="288" w:lineRule="auto"/>
      <w:ind w:left="2325" w:hanging="2325"/>
    </w:pPr>
  </w:style>
  <w:style w:type="paragraph" w:customStyle="1" w:styleId="405">
    <w:name w:val="xl51"/>
    <w:basedOn w:val="1"/>
    <w:qFormat/>
    <w:uiPriority w:val="0"/>
    <w:pPr>
      <w:widowControl/>
      <w:pBdr>
        <w:bottom w:val="single" w:color="000000" w:sz="4" w:space="0"/>
      </w:pBdr>
      <w:spacing w:before="100" w:beforeAutospacing="1" w:after="100" w:afterAutospacing="1"/>
      <w:jc w:val="left"/>
    </w:pPr>
    <w:rPr>
      <w:rFonts w:hint="eastAsia" w:ascii="方正仿宋_GB2312" w:hAnsi="宋体" w:eastAsia="方正仿宋_GB2312"/>
      <w:b/>
      <w:bCs/>
      <w:color w:val="000000"/>
      <w:sz w:val="24"/>
      <w:szCs w:val="24"/>
    </w:rPr>
  </w:style>
  <w:style w:type="paragraph" w:customStyle="1" w:styleId="406">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rPr>
  </w:style>
  <w:style w:type="paragraph" w:customStyle="1" w:styleId="407">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08">
    <w:name w:val="办公自动化专用正文"/>
    <w:basedOn w:val="1"/>
    <w:qFormat/>
    <w:uiPriority w:val="0"/>
    <w:pPr>
      <w:spacing w:line="500" w:lineRule="atLeast"/>
      <w:ind w:firstLine="624"/>
    </w:pPr>
    <w:rPr>
      <w:rFonts w:hAnsi="宋体" w:eastAsia="方正仿宋_GB2312"/>
      <w:color w:val="000000"/>
      <w:spacing w:val="-8"/>
      <w:sz w:val="32"/>
    </w:rPr>
  </w:style>
  <w:style w:type="paragraph" w:customStyle="1" w:styleId="409">
    <w:name w:val="样式 标题 2标题 2 Char Char + (西文) 仿宋_GB2312"/>
    <w:basedOn w:val="195"/>
    <w:qFormat/>
    <w:uiPriority w:val="0"/>
    <w:pPr>
      <w:keepLines/>
      <w:tabs>
        <w:tab w:val="left" w:pos="567"/>
      </w:tabs>
      <w:spacing w:before="120" w:after="120" w:line="500" w:lineRule="exact"/>
      <w:ind w:left="567" w:right="-226" w:firstLine="448"/>
      <w:jc w:val="both"/>
    </w:pPr>
    <w:rPr>
      <w:rFonts w:ascii="仿宋_GB2312" w:hAnsi="仿宋_GB2312" w:eastAsia="黑体"/>
      <w:color w:val="000000"/>
      <w:spacing w:val="-8"/>
      <w:sz w:val="28"/>
      <w:szCs w:val="28"/>
    </w:rPr>
  </w:style>
  <w:style w:type="paragraph" w:customStyle="1" w:styleId="410">
    <w:name w:val="章标题"/>
    <w:next w:val="1"/>
    <w:qFormat/>
    <w:uiPriority w:val="0"/>
    <w:pPr>
      <w:jc w:val="both"/>
      <w:outlineLvl w:val="1"/>
    </w:pPr>
    <w:rPr>
      <w:rFonts w:hint="default" w:ascii="黑体" w:hAnsi="Times New Roman" w:eastAsia="黑体" w:cs="Times New Roman"/>
      <w:sz w:val="21"/>
      <w:lang w:val="en-US" w:eastAsia="zh-CN" w:bidi="ar-SA"/>
    </w:rPr>
  </w:style>
  <w:style w:type="paragraph" w:customStyle="1" w:styleId="411">
    <w:name w:val="Char Char Char Char Char Char Char Char Char Char Char"/>
    <w:basedOn w:val="227"/>
    <w:qFormat/>
    <w:uiPriority w:val="0"/>
    <w:pPr>
      <w:ind w:firstLine="420"/>
    </w:pPr>
    <w:rPr>
      <w:rFonts w:hAnsi="宋体"/>
      <w:color w:val="000000"/>
      <w:spacing w:val="-8"/>
      <w:sz w:val="21"/>
      <w:shd w:val="clear" w:color="auto" w:fill="000080"/>
    </w:rPr>
  </w:style>
  <w:style w:type="paragraph" w:customStyle="1" w:styleId="412">
    <w:name w:val="text"/>
    <w:basedOn w:val="1"/>
    <w:qFormat/>
    <w:uiPriority w:val="0"/>
    <w:pPr>
      <w:widowControl/>
      <w:tabs>
        <w:tab w:val="left" w:pos="1020"/>
        <w:tab w:val="left" w:pos="1090"/>
      </w:tabs>
      <w:spacing w:after="60" w:line="264" w:lineRule="auto"/>
      <w:ind w:left="1098" w:hanging="2"/>
    </w:pPr>
    <w:rPr>
      <w:sz w:val="24"/>
      <w:szCs w:val="24"/>
    </w:rPr>
  </w:style>
  <w:style w:type="paragraph" w:customStyle="1" w:styleId="413">
    <w:name w:val="函数注释1"/>
    <w:basedOn w:val="1"/>
    <w:qFormat/>
    <w:uiPriority w:val="0"/>
    <w:pPr>
      <w:spacing w:after="20" w:line="320" w:lineRule="exact"/>
      <w:ind w:left="1678" w:right="210" w:hanging="1049"/>
      <w:jc w:val="left"/>
    </w:pPr>
  </w:style>
  <w:style w:type="paragraph" w:customStyle="1" w:styleId="414">
    <w:name w:val="列表_名词"/>
    <w:basedOn w:val="403"/>
    <w:qFormat/>
    <w:uiPriority w:val="0"/>
    <w:pPr>
      <w:tabs>
        <w:tab w:val="left" w:pos="2745"/>
      </w:tabs>
      <w:ind w:left="2745" w:hanging="420"/>
    </w:pPr>
  </w:style>
  <w:style w:type="paragraph" w:customStyle="1" w:styleId="415">
    <w:name w:val="样式 标题 3 + (西文) 宋体 黑色"/>
    <w:basedOn w:val="196"/>
    <w:qFormat/>
    <w:uiPriority w:val="0"/>
    <w:pPr>
      <w:keepLines/>
      <w:spacing w:before="260" w:after="260" w:line="415" w:lineRule="auto"/>
      <w:ind w:right="-94" w:firstLine="448"/>
      <w:jc w:val="both"/>
    </w:pPr>
    <w:rPr>
      <w:rFonts w:ascii="宋体" w:hAnsi="宋体" w:eastAsia="黑体"/>
      <w:b w:val="0"/>
      <w:bCs w:val="0"/>
      <w:color w:val="000000"/>
      <w:spacing w:val="-8"/>
      <w:sz w:val="28"/>
      <w:szCs w:val="21"/>
    </w:rPr>
  </w:style>
  <w:style w:type="paragraph" w:customStyle="1" w:styleId="416">
    <w:name w:val="Javis"/>
    <w:basedOn w:val="1"/>
    <w:qFormat/>
    <w:uiPriority w:val="0"/>
    <w:pPr>
      <w:ind w:right="210"/>
    </w:pPr>
    <w:rPr>
      <w:rFonts w:cs="宋体"/>
      <w:sz w:val="24"/>
    </w:rPr>
  </w:style>
  <w:style w:type="paragraph" w:customStyle="1" w:styleId="417">
    <w:name w:val="样式 标题 1 + 加粗"/>
    <w:basedOn w:val="194"/>
    <w:qFormat/>
    <w:uiPriority w:val="0"/>
    <w:pPr>
      <w:keepLines/>
      <w:widowControl/>
      <w:tabs>
        <w:tab w:val="left" w:pos="1800"/>
      </w:tabs>
      <w:spacing w:before="120" w:after="120"/>
    </w:pPr>
    <w:rPr>
      <w:rFonts w:ascii="新宋体" w:hAnsi="宋体" w:eastAsia="黑体"/>
      <w:bCs/>
      <w:szCs w:val="28"/>
    </w:rPr>
  </w:style>
  <w:style w:type="paragraph" w:customStyle="1" w:styleId="418">
    <w:name w:val="重点"/>
    <w:basedOn w:val="1"/>
    <w:qFormat/>
    <w:uiPriority w:val="0"/>
    <w:pPr>
      <w:shd w:val="pct10" w:color="auto" w:fill="auto"/>
      <w:spacing w:after="20" w:line="288" w:lineRule="auto"/>
      <w:ind w:firstLine="420"/>
    </w:pPr>
    <w:rPr>
      <w:rFonts w:eastAsia="黑体"/>
      <w:b/>
      <w:szCs w:val="24"/>
    </w:rPr>
  </w:style>
  <w:style w:type="paragraph" w:customStyle="1" w:styleId="419">
    <w:name w:val="目录"/>
    <w:basedOn w:val="1"/>
    <w:next w:val="1"/>
    <w:qFormat/>
    <w:uiPriority w:val="0"/>
    <w:pPr>
      <w:spacing w:before="360" w:after="360" w:line="360" w:lineRule="auto"/>
      <w:ind w:firstLine="420"/>
      <w:jc w:val="center"/>
    </w:pPr>
    <w:rPr>
      <w:b/>
      <w:spacing w:val="200"/>
      <w:sz w:val="36"/>
    </w:rPr>
  </w:style>
  <w:style w:type="paragraph" w:customStyle="1" w:styleId="420">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421">
    <w:name w:val="样式2"/>
    <w:basedOn w:val="196"/>
    <w:qFormat/>
    <w:uiPriority w:val="0"/>
    <w:pPr>
      <w:keepLines/>
      <w:spacing w:line="416" w:lineRule="auto"/>
      <w:ind w:firstLine="448"/>
      <w:jc w:val="both"/>
    </w:pPr>
    <w:rPr>
      <w:rFonts w:hAnsi="宋体" w:eastAsia="宋体"/>
      <w:color w:val="000000"/>
      <w:spacing w:val="-8"/>
      <w:sz w:val="24"/>
      <w:szCs w:val="32"/>
    </w:rPr>
  </w:style>
  <w:style w:type="paragraph" w:customStyle="1" w:styleId="422">
    <w:name w:val="Char Char Char Char Char Char Char Char Char Char Char Char Char Char Char Char"/>
    <w:basedOn w:val="1"/>
    <w:qFormat/>
    <w:uiPriority w:val="0"/>
    <w:pPr>
      <w:tabs>
        <w:tab w:val="left" w:pos="360"/>
      </w:tabs>
    </w:pPr>
    <w:rPr>
      <w:sz w:val="24"/>
      <w:szCs w:val="24"/>
    </w:rPr>
  </w:style>
  <w:style w:type="paragraph" w:customStyle="1" w:styleId="423">
    <w:name w:val="xl52"/>
    <w:basedOn w:val="1"/>
    <w:qFormat/>
    <w:uiPriority w:val="0"/>
    <w:pPr>
      <w:widowControl/>
      <w:pBdr>
        <w:bottom w:val="single" w:color="000000" w:sz="4" w:space="0"/>
      </w:pBdr>
      <w:spacing w:before="100" w:beforeAutospacing="1" w:after="100" w:afterAutospacing="1"/>
      <w:jc w:val="left"/>
    </w:pPr>
    <w:rPr>
      <w:rFonts w:hint="eastAsia" w:ascii="方正仿宋_GB2312" w:hAnsi="宋体" w:eastAsia="方正仿宋_GB2312"/>
      <w:b/>
      <w:bCs/>
      <w:sz w:val="24"/>
      <w:szCs w:val="24"/>
    </w:rPr>
  </w:style>
  <w:style w:type="paragraph" w:customStyle="1" w:styleId="424">
    <w:name w:val="函数注释2"/>
    <w:basedOn w:val="1"/>
    <w:qFormat/>
    <w:uiPriority w:val="0"/>
    <w:pPr>
      <w:spacing w:after="20" w:line="288" w:lineRule="auto"/>
      <w:ind w:left="1680" w:firstLine="420"/>
    </w:pPr>
    <w:rPr>
      <w:szCs w:val="24"/>
    </w:rPr>
  </w:style>
  <w:style w:type="paragraph" w:customStyle="1" w:styleId="425">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szCs w:val="24"/>
    </w:rPr>
  </w:style>
  <w:style w:type="paragraph" w:customStyle="1" w:styleId="426">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rPr>
  </w:style>
  <w:style w:type="paragraph" w:customStyle="1" w:styleId="427">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28">
    <w:name w:val="复选框1"/>
    <w:basedOn w:val="1"/>
    <w:qFormat/>
    <w:uiPriority w:val="0"/>
    <w:pPr>
      <w:widowControl/>
      <w:spacing w:before="360" w:after="360"/>
      <w:ind w:firstLine="448"/>
    </w:pPr>
    <w:rPr>
      <w:rFonts w:hAnsi="宋体"/>
      <w:color w:val="000000"/>
      <w:spacing w:val="-8"/>
      <w:sz w:val="20"/>
    </w:rPr>
  </w:style>
  <w:style w:type="paragraph" w:customStyle="1" w:styleId="429">
    <w:name w:val="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430">
    <w:name w:val="标准文字"/>
    <w:basedOn w:val="1"/>
    <w:qFormat/>
    <w:uiPriority w:val="0"/>
    <w:pPr>
      <w:spacing w:after="20" w:line="360" w:lineRule="auto"/>
      <w:ind w:firstLine="420"/>
    </w:pPr>
    <w:rPr>
      <w:szCs w:val="24"/>
    </w:rPr>
  </w:style>
  <w:style w:type="paragraph" w:customStyle="1" w:styleId="431">
    <w:name w:val="Char Char Char Char"/>
    <w:basedOn w:val="1"/>
    <w:qFormat/>
    <w:uiPriority w:val="0"/>
    <w:pPr>
      <w:widowControl/>
      <w:spacing w:after="160" w:line="240" w:lineRule="exact"/>
      <w:jc w:val="left"/>
    </w:pPr>
    <w:rPr>
      <w:rFonts w:ascii="Verdana" w:hAnsi="Verdana" w:eastAsia="仿宋_GB2312"/>
      <w:sz w:val="24"/>
      <w:lang w:eastAsia="en-US"/>
    </w:rPr>
  </w:style>
  <w:style w:type="paragraph" w:customStyle="1" w:styleId="432">
    <w:name w:val="样式一"/>
    <w:basedOn w:val="1"/>
    <w:qFormat/>
    <w:uiPriority w:val="0"/>
    <w:pPr>
      <w:tabs>
        <w:tab w:val="left" w:pos="1080"/>
      </w:tabs>
      <w:spacing w:before="100" w:after="100" w:line="360" w:lineRule="exact"/>
      <w:ind w:left="340" w:hanging="340"/>
    </w:pPr>
    <w:rPr>
      <w:rFonts w:ascii="宋体" w:hAnsi="宋体" w:eastAsia="黑体"/>
      <w:sz w:val="24"/>
      <w:lang w:val="en-GB"/>
    </w:rPr>
  </w:style>
  <w:style w:type="paragraph" w:customStyle="1" w:styleId="433">
    <w:name w:val="程序代码"/>
    <w:basedOn w:val="1"/>
    <w:qFormat/>
    <w:uiPriority w:val="0"/>
    <w:pPr>
      <w:spacing w:after="20" w:line="288" w:lineRule="auto"/>
      <w:ind w:left="839" w:firstLine="420"/>
    </w:pPr>
    <w:rPr>
      <w:rFonts w:eastAsia="仿宋_GB2312"/>
      <w:szCs w:val="24"/>
    </w:rPr>
  </w:style>
  <w:style w:type="paragraph" w:customStyle="1" w:styleId="434">
    <w:name w:val="表格文字"/>
    <w:basedOn w:val="1"/>
    <w:qFormat/>
    <w:uiPriority w:val="0"/>
    <w:pPr>
      <w:spacing w:line="288" w:lineRule="auto"/>
      <w:jc w:val="left"/>
    </w:pPr>
  </w:style>
  <w:style w:type="paragraph" w:customStyle="1" w:styleId="435">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rPr>
  </w:style>
  <w:style w:type="paragraph" w:customStyle="1" w:styleId="436">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rPr>
  </w:style>
  <w:style w:type="paragraph" w:customStyle="1" w:styleId="437">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szCs w:val="24"/>
    </w:rPr>
  </w:style>
  <w:style w:type="paragraph" w:customStyle="1" w:styleId="438">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rPr>
  </w:style>
  <w:style w:type="paragraph" w:customStyle="1" w:styleId="439">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szCs w:val="24"/>
    </w:rPr>
  </w:style>
  <w:style w:type="paragraph" w:customStyle="1" w:styleId="440">
    <w:name w:val="List Paragraph[858D7CFB-ED40-4347-BF05-701D383B685F][858D7CFB-ED40-4347-BF05-701D383B685F]"/>
    <w:basedOn w:val="1"/>
    <w:qFormat/>
    <w:uiPriority w:val="0"/>
    <w:pPr>
      <w:ind w:firstLine="420"/>
    </w:pPr>
    <w:rPr>
      <w:rFonts w:ascii="Calibri" w:hAnsi="Calibri"/>
      <w:color w:val="000000"/>
      <w:spacing w:val="-8"/>
      <w:szCs w:val="22"/>
    </w:rPr>
  </w:style>
  <w:style w:type="paragraph" w:customStyle="1" w:styleId="441">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rPr>
  </w:style>
  <w:style w:type="paragraph" w:customStyle="1" w:styleId="442">
    <w:name w:val="文档标签"/>
    <w:next w:val="1"/>
    <w:qFormat/>
    <w:uiPriority w:val="0"/>
    <w:pPr>
      <w:spacing w:before="100" w:after="720" w:line="600" w:lineRule="exact"/>
      <w:ind w:left="840"/>
    </w:pPr>
    <w:rPr>
      <w:rFonts w:hint="default" w:ascii="Times New Roman" w:hAnsi="Times New Roman" w:eastAsia="宋体" w:cs="Times New Roman"/>
      <w:spacing w:val="-34"/>
      <w:sz w:val="60"/>
      <w:lang w:val="en-US" w:eastAsia="zh-CN" w:bidi="ar-SA"/>
    </w:rPr>
  </w:style>
  <w:style w:type="paragraph" w:customStyle="1" w:styleId="443">
    <w:name w:val="whs5"/>
    <w:basedOn w:val="1"/>
    <w:qFormat/>
    <w:uiPriority w:val="0"/>
    <w:pPr>
      <w:widowControl/>
      <w:ind w:left="115" w:right="130" w:firstLine="448"/>
    </w:pPr>
    <w:rPr>
      <w:rFonts w:hAnsi="宋体"/>
      <w:color w:val="000000"/>
      <w:spacing w:val="-8"/>
      <w:sz w:val="18"/>
      <w:szCs w:val="18"/>
      <w:lang w:eastAsia="en-US"/>
    </w:rPr>
  </w:style>
  <w:style w:type="paragraph" w:customStyle="1" w:styleId="444">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45">
    <w:name w:val="表格标题"/>
    <w:basedOn w:val="1"/>
    <w:qFormat/>
    <w:uiPriority w:val="0"/>
    <w:pPr>
      <w:spacing w:before="120" w:line="400" w:lineRule="exact"/>
      <w:jc w:val="center"/>
    </w:pPr>
    <w:rPr>
      <w:rFonts w:eastAsia="华文中宋"/>
      <w:spacing w:val="8"/>
      <w:sz w:val="24"/>
    </w:rPr>
  </w:style>
  <w:style w:type="paragraph" w:customStyle="1" w:styleId="446">
    <w:name w:val="列表2"/>
    <w:basedOn w:val="1"/>
    <w:qFormat/>
    <w:uiPriority w:val="0"/>
    <w:pPr>
      <w:tabs>
        <w:tab w:val="left" w:pos="1470"/>
      </w:tabs>
      <w:spacing w:after="20" w:line="288" w:lineRule="auto"/>
      <w:ind w:left="1469" w:hanging="420"/>
    </w:pPr>
    <w:rPr>
      <w:szCs w:val="24"/>
    </w:rPr>
  </w:style>
  <w:style w:type="paragraph" w:customStyle="1" w:styleId="447">
    <w:name w:val="列表段落1"/>
    <w:basedOn w:val="1"/>
    <w:qFormat/>
    <w:uiPriority w:val="0"/>
    <w:pPr>
      <w:ind w:firstLine="420"/>
    </w:pPr>
    <w:rPr>
      <w:rFonts w:ascii="Calibri" w:hAnsi="Calibri"/>
      <w:szCs w:val="22"/>
    </w:rPr>
  </w:style>
  <w:style w:type="paragraph" w:customStyle="1" w:styleId="448">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rPr>
  </w:style>
  <w:style w:type="paragraph" w:customStyle="1" w:styleId="449">
    <w:name w:val="Char Char Char1 Char Char Char"/>
    <w:basedOn w:val="1"/>
    <w:qFormat/>
    <w:uiPriority w:val="0"/>
    <w:pPr>
      <w:ind w:firstLine="200"/>
    </w:pPr>
    <w:rPr>
      <w:rFonts w:ascii="Tahoma" w:hAnsi="Tahoma"/>
      <w:sz w:val="24"/>
    </w:rPr>
  </w:style>
  <w:style w:type="paragraph" w:customStyle="1" w:styleId="450">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rPr>
  </w:style>
  <w:style w:type="paragraph" w:customStyle="1" w:styleId="451">
    <w:name w:val="无间隔"/>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52">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rPr>
  </w:style>
  <w:style w:type="paragraph" w:customStyle="1" w:styleId="453">
    <w:name w:val="表头"/>
    <w:basedOn w:val="1"/>
    <w:qFormat/>
    <w:uiPriority w:val="0"/>
    <w:pPr>
      <w:spacing w:line="320" w:lineRule="atLeast"/>
      <w:jc w:val="center"/>
    </w:pPr>
    <w:rPr>
      <w:rFonts w:eastAsia="黑体"/>
      <w:spacing w:val="-10"/>
    </w:rPr>
  </w:style>
  <w:style w:type="paragraph" w:customStyle="1" w:styleId="454">
    <w:name w:val="标准式样"/>
    <w:basedOn w:val="274"/>
    <w:qFormat/>
    <w:uiPriority w:val="0"/>
  </w:style>
  <w:style w:type="paragraph" w:customStyle="1" w:styleId="455">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56">
    <w:name w:val="Char1"/>
    <w:basedOn w:val="1"/>
    <w:qFormat/>
    <w:uiPriority w:val="0"/>
    <w:pPr>
      <w:ind w:firstLine="448"/>
    </w:pPr>
    <w:rPr>
      <w:rFonts w:ascii="宋体" w:hAnsi="宋体" w:eastAsia="仿宋_GB2312"/>
      <w:b/>
      <w:color w:val="000000"/>
      <w:spacing w:val="-8"/>
      <w:sz w:val="32"/>
      <w:szCs w:val="32"/>
    </w:rPr>
  </w:style>
  <w:style w:type="paragraph" w:customStyle="1" w:styleId="457">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58">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rPr>
  </w:style>
  <w:style w:type="paragraph" w:customStyle="1" w:styleId="459">
    <w:name w:val="简介正文"/>
    <w:basedOn w:val="1"/>
    <w:qFormat/>
    <w:uiPriority w:val="0"/>
    <w:pPr>
      <w:tabs>
        <w:tab w:val="left" w:pos="425"/>
      </w:tabs>
      <w:spacing w:after="20" w:line="520" w:lineRule="exact"/>
      <w:ind w:left="1701" w:hanging="1701"/>
    </w:pPr>
    <w:rPr>
      <w:sz w:val="24"/>
    </w:rPr>
  </w:style>
  <w:style w:type="paragraph" w:customStyle="1" w:styleId="46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rPr>
  </w:style>
  <w:style w:type="paragraph" w:customStyle="1" w:styleId="46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rPr>
  </w:style>
  <w:style w:type="paragraph" w:customStyle="1" w:styleId="462">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szCs w:val="24"/>
    </w:rPr>
  </w:style>
  <w:style w:type="paragraph" w:customStyle="1" w:styleId="463">
    <w:name w:val="Other|1"/>
    <w:basedOn w:val="1"/>
    <w:qFormat/>
    <w:uiPriority w:val="0"/>
    <w:pPr>
      <w:ind w:firstLine="220"/>
    </w:pPr>
    <w:rPr>
      <w:rFonts w:ascii="宋体" w:hAnsi="宋体" w:cs="宋体"/>
      <w:sz w:val="20"/>
      <w:lang w:val="zh-TW" w:eastAsia="zh-TW" w:bidi="zh-TW"/>
    </w:rPr>
  </w:style>
  <w:style w:type="paragraph" w:customStyle="1" w:styleId="464">
    <w:name w:val="列出段落11"/>
    <w:basedOn w:val="1"/>
    <w:qFormat/>
    <w:uiPriority w:val="0"/>
    <w:pPr>
      <w:keepNext w:val="0"/>
      <w:keepLines w:val="0"/>
      <w:widowControl w:val="0"/>
      <w:suppressLineNumbers w:val="0"/>
      <w:spacing w:before="0" w:beforeAutospacing="0" w:after="0" w:afterAutospacing="0"/>
      <w:ind w:left="0" w:right="0" w:firstLine="420"/>
      <w:jc w:val="both"/>
    </w:pPr>
    <w:rPr>
      <w:rFonts w:hint="default" w:ascii="Times New Roman" w:hAnsi="Times New Roman" w:eastAsia="宋体" w:cs="Times New Roman"/>
      <w:color w:val="000000"/>
      <w:spacing w:val="-8"/>
      <w:kern w:val="0"/>
      <w:sz w:val="21"/>
      <w:szCs w:val="21"/>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Company>
  <Pages>51</Pages>
  <Words>30806</Words>
  <Characters>31860</Characters>
  <Lines>1</Lines>
  <Paragraphs>1</Paragraphs>
  <TotalTime>12</TotalTime>
  <ScaleCrop>false</ScaleCrop>
  <LinksUpToDate>false</LinksUpToDate>
  <CharactersWithSpaces>33351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2022-07-11T04:13:00Z</dcterms:created>
  <dc:creator>时缪</dc:creator>
  <cp:lastModifiedBy>小六六吖</cp:lastModifiedBy>
  <cp:lastPrinted>2025-10-09T02:40:00Z</cp:lastPrinted>
  <dcterms:modified xsi:type="dcterms:W3CDTF">2025-10-16T09:38:07Z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B728B7D6831E45E4B6673035EC93B1EC_13</vt:lpwstr>
  </property>
  <property fmtid="{D5CDD505-2E9C-101B-9397-08002B2CF9AE}" pid="4" name="KSOTemplateDocerSaveRecord">
    <vt:lpwstr>eyJoZGlkIjoiOGQ0MmRjMjk0MzhiYjUzOTQ4OGM0YmRiZmY4NzlkMDAiLCJ1c2VySWQiOiIzNDAxMzk0NTEifQ==</vt:lpwstr>
  </property>
</Properties>
</file>